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AB6B8" w14:textId="4538F21E" w:rsidR="0070070A" w:rsidRDefault="0070070A" w:rsidP="0070070A">
      <w:pPr>
        <w:jc w:val="right"/>
        <w:rPr>
          <w:b/>
          <w:color w:val="00526F"/>
          <w:sz w:val="52"/>
          <w:szCs w:val="52"/>
        </w:rPr>
      </w:pPr>
      <w:bookmarkStart w:id="0" w:name="_GoBack"/>
      <w:bookmarkEnd w:id="0"/>
      <w:r w:rsidRPr="00456576">
        <w:rPr>
          <w:noProof/>
          <w:lang w:eastAsia="en-GB"/>
        </w:rPr>
        <w:drawing>
          <wp:inline distT="0" distB="0" distL="0" distR="0" wp14:anchorId="34AD467C" wp14:editId="7675D7DD">
            <wp:extent cx="1674879" cy="1524198"/>
            <wp:effectExtent l="0" t="0" r="1905" b="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NEW FOLDER STRUCTURE\3. Brand Marketing\Brand\Logos\SEPA logo\SEPA Gaelic logo wEnglis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913" cy="1574281"/>
                    </a:xfrm>
                    <a:prstGeom prst="rect">
                      <a:avLst/>
                    </a:prstGeom>
                    <a:noFill/>
                    <a:ln>
                      <a:noFill/>
                    </a:ln>
                  </pic:spPr>
                </pic:pic>
              </a:graphicData>
            </a:graphic>
          </wp:inline>
        </w:drawing>
      </w:r>
    </w:p>
    <w:p w14:paraId="7B1EB4B2" w14:textId="175F5841" w:rsidR="0070070A" w:rsidRDefault="0070070A" w:rsidP="0070070A">
      <w:pPr>
        <w:overflowPunct/>
        <w:autoSpaceDE/>
        <w:autoSpaceDN/>
        <w:adjustRightInd/>
        <w:spacing w:after="0" w:line="240" w:lineRule="auto"/>
        <w:jc w:val="both"/>
        <w:textAlignment w:val="auto"/>
        <w:rPr>
          <w:b/>
          <w:color w:val="00526F"/>
          <w:sz w:val="52"/>
          <w:szCs w:val="52"/>
        </w:rPr>
      </w:pPr>
    </w:p>
    <w:p w14:paraId="7F224CA6" w14:textId="3FC980FE" w:rsidR="0013322B" w:rsidRDefault="001F7ADC" w:rsidP="0070070A">
      <w:pPr>
        <w:overflowPunct/>
        <w:autoSpaceDE/>
        <w:autoSpaceDN/>
        <w:adjustRightInd/>
        <w:spacing w:after="0" w:line="240" w:lineRule="auto"/>
        <w:jc w:val="both"/>
        <w:textAlignment w:val="auto"/>
        <w:rPr>
          <w:b/>
          <w:color w:val="00526F"/>
          <w:sz w:val="52"/>
          <w:szCs w:val="52"/>
        </w:rPr>
      </w:pPr>
      <w:r>
        <w:rPr>
          <w:b/>
          <w:noProof/>
          <w:color w:val="00526F"/>
          <w:sz w:val="52"/>
          <w:szCs w:val="52"/>
          <w:lang w:eastAsia="en-GB"/>
        </w:rPr>
        <mc:AlternateContent>
          <mc:Choice Requires="wps">
            <w:drawing>
              <wp:anchor distT="0" distB="0" distL="114300" distR="114300" simplePos="0" relativeHeight="251659264" behindDoc="1" locked="0" layoutInCell="1" allowOverlap="1" wp14:anchorId="365EEEC4" wp14:editId="30665FC6">
                <wp:simplePos x="0" y="0"/>
                <wp:positionH relativeFrom="page">
                  <wp:align>left</wp:align>
                </wp:positionH>
                <wp:positionV relativeFrom="paragraph">
                  <wp:posOffset>93980</wp:posOffset>
                </wp:positionV>
                <wp:extent cx="6049645" cy="2686050"/>
                <wp:effectExtent l="0" t="0" r="27305" b="19050"/>
                <wp:wrapNone/>
                <wp:docPr id="2" name="Rectangle 2"/>
                <wp:cNvGraphicFramePr/>
                <a:graphic xmlns:a="http://schemas.openxmlformats.org/drawingml/2006/main">
                  <a:graphicData uri="http://schemas.microsoft.com/office/word/2010/wordprocessingShape">
                    <wps:wsp>
                      <wps:cNvSpPr/>
                      <wps:spPr>
                        <a:xfrm>
                          <a:off x="0" y="0"/>
                          <a:ext cx="6049645" cy="2686050"/>
                        </a:xfrm>
                        <a:prstGeom prst="rect">
                          <a:avLst/>
                        </a:prstGeom>
                        <a:solidFill>
                          <a:srgbClr val="73AE57"/>
                        </a:solidFill>
                        <a:ln>
                          <a:solidFill>
                            <a:srgbClr val="73AE5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353DF" w14:textId="77777777" w:rsidR="00EB6139" w:rsidRPr="0013322B" w:rsidRDefault="00EB6139" w:rsidP="0070070A">
                            <w:pPr>
                              <w:rPr>
                                <w:rFonts w:ascii="Arial Narrow" w:hAnsi="Arial Narrow"/>
                                <w:b/>
                                <w:color w:val="FFFFFF" w:themeColor="background1"/>
                                <w:sz w:val="20"/>
                              </w:rPr>
                            </w:pPr>
                          </w:p>
                          <w:p w14:paraId="1EC45613" w14:textId="2961A823" w:rsidR="00EB6139" w:rsidRDefault="00EB6139"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2019 WASTE DATA QUALITY REPORT</w:t>
                            </w:r>
                          </w:p>
                          <w:p w14:paraId="406AF5F7" w14:textId="02FBD29A" w:rsidR="00EB6139" w:rsidRDefault="00EB6139"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WASTE INCINERATED IN SCOTLAND</w:t>
                            </w:r>
                          </w:p>
                          <w:p w14:paraId="25B4BDBE" w14:textId="77777777" w:rsidR="00EB6139" w:rsidRPr="0013322B" w:rsidRDefault="00EB6139" w:rsidP="0013322B">
                            <w:pPr>
                              <w:ind w:left="284"/>
                              <w:rPr>
                                <w:rFonts w:ascii="Arial Narrow" w:hAnsi="Arial Narrow"/>
                                <w:b/>
                                <w:color w:val="FFFFFF" w:themeColor="background1"/>
                                <w:sz w:val="20"/>
                              </w:rPr>
                            </w:pPr>
                          </w:p>
                          <w:p w14:paraId="37111B28" w14:textId="7C139151"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29 September 2020</w:t>
                            </w:r>
                          </w:p>
                          <w:p w14:paraId="7FBC0055" w14:textId="3A5EA573"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EB6139" w:rsidRPr="0013322B"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EB6139" w:rsidRDefault="00EB6139" w:rsidP="007007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EEEC4" id="Rectangle 2" o:spid="_x0000_s1026" style="position:absolute;left:0;text-align:left;margin-left:0;margin-top:7.4pt;width:476.35pt;height:211.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y+oAIAALoFAAAOAAAAZHJzL2Uyb0RvYy54bWysVEtv2zAMvg/YfxB0X+x4SdoGdYogXYcB&#10;RVu0HXpWZCk2IIuapMTOfv0o+dHHih2K5aBQIvmR/Ezy/KKtFTkI6yrQOZ1OUkqE5lBUepfTn49X&#10;X04pcZ7pginQIqdH4ejF6vOn88YsRQYlqEJYgiDaLRuT09J7s0wSx0tRMzcBIzQqJdiaebzaXVJY&#10;1iB6rZIsTRdJA7YwFrhwDl8vOyVdRXwpBfe3Ujrhicop5ubjaeO5DWeyOmfLnWWmrHifBvtAFjWr&#10;NAYdoS6ZZ2Rvq7+g6opbcCD9hEOdgJQVF7EGrGaavqnmoWRGxFqQHGdGmtz/g+U3hztLqiKnGSWa&#10;1fiJ7pE0pndKkCzQ0xi3RKsHc2f7m0Mx1NpKW4d/rIK0kdLjSKloPeH4uEhnZ4vZnBKOumxxukjn&#10;kfTk2d1Y578LqEkQcmoxfKSSHa6dx5BoOpiEaA5UVVxVSsWL3W03ypIDw+978nX9bX4SckaXV2ZK&#10;f8wTcYJrEjjoqo6SPyoRAJW+FxLJwzqzmHJsWzEmxDgX2k87VckK0eU5T/E3pBkaPXjEpCNgQJZY&#10;34jdAwyWHciA3VXb2wdXEbt+dE7/lVjnPHrEyKD96FxXGux7AAqr6iN39gNJHTWBJd9uWzQJ4haK&#10;I3aZhW78nOFXFX7ra+b8HbM4bziZuEP8LR5SQZNT6CVKSrC/33sP9jgGqKWkwfnNqfu1Z1ZQon5o&#10;HJCz6WwWBj5eZvOTDC/2pWb7UqP39Qawhaa4rQyPYrD3ahClhfoJV806REUV0xxj55R7O1w2vtsr&#10;uKy4WK+jGQ65Yf5aPxgewAPBoZcf2ydmTd/wHmflBoZZZ8s3fd/ZBk8N670HWcWheOa1px4XROyh&#10;fpmFDfTyHq2eV+7qDwAAAP//AwBQSwMEFAAGAAgAAAAhALeTg+/iAAAABwEAAA8AAABkcnMvZG93&#10;bnJldi54bWxMj0FLw0AQhe+C/2EZwYvYjbW1MWZTRCkqiNBUC71ts2MS3Z0N2W0b/fWOJz3Oe4/3&#10;vsnng7Nij31oPSm4GCUgkCpvWqoVvK4W5ymIEDUZbT2hgi8MMC+Oj3KdGX+gJe7LWAsuoZBpBU2M&#10;XSZlqBp0Oox8h8Teu++djnz2tTS9PnC5s3KcJFfS6ZZ4odEd3jVYfZY7pyB9s+V6sXp83jy1L5vp&#10;evl99vFwr9TpyXB7AyLiEP/C8IvP6FAw09bvyARhFfAjkdUJ87N7PR3PQGwVTC5nKcgil//5ix8A&#10;AAD//wMAUEsBAi0AFAAGAAgAAAAhALaDOJL+AAAA4QEAABMAAAAAAAAAAAAAAAAAAAAAAFtDb250&#10;ZW50X1R5cGVzXS54bWxQSwECLQAUAAYACAAAACEAOP0h/9YAAACUAQAACwAAAAAAAAAAAAAAAAAv&#10;AQAAX3JlbHMvLnJlbHNQSwECLQAUAAYACAAAACEAfW3cvqACAAC6BQAADgAAAAAAAAAAAAAAAAAu&#10;AgAAZHJzL2Uyb0RvYy54bWxQSwECLQAUAAYACAAAACEAt5OD7+IAAAAHAQAADwAAAAAAAAAAAAAA&#10;AAD6BAAAZHJzL2Rvd25yZXYueG1sUEsFBgAAAAAEAAQA8wAAAAkGAAAAAA==&#10;" fillcolor="#73ae57" strokecolor="#73ae57" strokeweight="2pt">
                <v:textbox>
                  <w:txbxContent>
                    <w:p w14:paraId="62C353DF" w14:textId="77777777" w:rsidR="00EB6139" w:rsidRPr="0013322B" w:rsidRDefault="00EB6139" w:rsidP="0070070A">
                      <w:pPr>
                        <w:rPr>
                          <w:rFonts w:ascii="Arial Narrow" w:hAnsi="Arial Narrow"/>
                          <w:b/>
                          <w:color w:val="FFFFFF" w:themeColor="background1"/>
                          <w:sz w:val="20"/>
                        </w:rPr>
                      </w:pPr>
                    </w:p>
                    <w:p w14:paraId="1EC45613" w14:textId="2961A823" w:rsidR="00EB6139" w:rsidRDefault="00EB6139"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2019 WASTE DATA QUALITY REPORT</w:t>
                      </w:r>
                    </w:p>
                    <w:p w14:paraId="406AF5F7" w14:textId="02FBD29A" w:rsidR="00EB6139" w:rsidRDefault="00EB6139"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WASTE INCINERATED IN SCOTLAND</w:t>
                      </w:r>
                    </w:p>
                    <w:p w14:paraId="25B4BDBE" w14:textId="77777777" w:rsidR="00EB6139" w:rsidRPr="0013322B" w:rsidRDefault="00EB6139" w:rsidP="0013322B">
                      <w:pPr>
                        <w:ind w:left="284"/>
                        <w:rPr>
                          <w:rFonts w:ascii="Arial Narrow" w:hAnsi="Arial Narrow"/>
                          <w:b/>
                          <w:color w:val="FFFFFF" w:themeColor="background1"/>
                          <w:sz w:val="20"/>
                        </w:rPr>
                      </w:pPr>
                    </w:p>
                    <w:p w14:paraId="37111B28" w14:textId="7C139151"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29 September 2020</w:t>
                      </w:r>
                    </w:p>
                    <w:p w14:paraId="7FBC0055" w14:textId="3A5EA573"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EB6139"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EB6139" w:rsidRPr="0013322B" w:rsidRDefault="00EB6139"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EB6139" w:rsidRDefault="00EB6139" w:rsidP="0070070A">
                      <w:pPr>
                        <w:jc w:val="center"/>
                      </w:pPr>
                    </w:p>
                  </w:txbxContent>
                </v:textbox>
                <w10:wrap anchorx="page"/>
              </v:rect>
            </w:pict>
          </mc:Fallback>
        </mc:AlternateContent>
      </w:r>
      <w:r w:rsidR="004B606F" w:rsidRPr="004B606F">
        <w:rPr>
          <w:b/>
          <w:noProof/>
          <w:color w:val="00526F"/>
          <w:sz w:val="52"/>
          <w:szCs w:val="52"/>
          <w:lang w:eastAsia="en-GB"/>
        </w:rPr>
        <mc:AlternateContent>
          <mc:Choice Requires="wps">
            <w:drawing>
              <wp:anchor distT="45720" distB="45720" distL="114300" distR="114300" simplePos="0" relativeHeight="251661312" behindDoc="0" locked="0" layoutInCell="1" allowOverlap="1" wp14:anchorId="0E7614F6" wp14:editId="750FC55A">
                <wp:simplePos x="0" y="0"/>
                <wp:positionH relativeFrom="page">
                  <wp:align>right</wp:align>
                </wp:positionH>
                <wp:positionV relativeFrom="paragraph">
                  <wp:posOffset>5338844</wp:posOffset>
                </wp:positionV>
                <wp:extent cx="7538085" cy="2360295"/>
                <wp:effectExtent l="0" t="0" r="571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2360295"/>
                        </a:xfrm>
                        <a:prstGeom prst="rect">
                          <a:avLst/>
                        </a:prstGeom>
                        <a:solidFill>
                          <a:srgbClr val="FFFFFF"/>
                        </a:solidFill>
                        <a:ln w="9525">
                          <a:noFill/>
                          <a:miter lim="800000"/>
                          <a:headEnd/>
                          <a:tailEnd/>
                        </a:ln>
                      </wps:spPr>
                      <wps:txbx>
                        <w:txbxContent>
                          <w:p w14:paraId="1956DFBD" w14:textId="3045A39B" w:rsidR="00EB6139" w:rsidRDefault="00EB6139">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9">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614F6" id="_x0000_t202" coordsize="21600,21600" o:spt="202" path="m,l,21600r21600,l21600,xe">
                <v:stroke joinstyle="miter"/>
                <v:path gradientshapeok="t" o:connecttype="rect"/>
              </v:shapetype>
              <v:shape id="Text Box 2" o:spid="_x0000_s1027" type="#_x0000_t202" style="position:absolute;left:0;text-align:left;margin-left:542.35pt;margin-top:420.4pt;width:593.55pt;height:185.8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E8JgIAACU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m/nVIl/MKeHoK66u82I5T2+w8iXdOh8+CtAkHirqsPkJ&#10;nh0efIh0WPkSEl/zoGSzlUolw+3qjXLkwHBQtmmd0H8LU4b0FV3Oi3lCNhDz0wxpGXCQldQVXeRx&#10;xXRWRjk+mCadA5NqPCMTZU76RElGccJQD6kVSbyoXQ3NEQVzMM4t/jM8dOB+UdLjzFbU/9wzJyhR&#10;nwyKvpzOZnHIkzGb3xRouEtPfelhhiNURQMl43ET0seItA3cYXNamWR7ZXKijLOY1Dz9mzjsl3aK&#10;ev3d62cAAAD//wMAUEsDBBQABgAIAAAAIQBpdccq3gAAAAoBAAAPAAAAZHJzL2Rvd25yZXYueG1s&#10;TI/LboMwEEX3lfoP1lTqpmoMKAmUYKK2Uqtu8/iAAU8ABY8RdgL5+zqrdjejO7pzTrGdTS+uNLrO&#10;soJ4EYEgrq3uuFFwPHy9ZiCcR9bYWyYFN3KwLR8fCsy1nXhH171vRChhl6OC1vshl9LVLRl0CzsQ&#10;h+xkR4M+rGMj9YhTKDe9TKJoLQ12HD60ONBnS/V5fzEKTj/Ty+ptqr79Md0t1x/YpZW9KfX8NL9v&#10;QHia/d8x3PEDOpSBqbIX1k70CoKIV5AtoyBwj+MsjUFUYUriZAWyLOR/hfIXAAD//wMAUEsBAi0A&#10;FAAGAAgAAAAhALaDOJL+AAAA4QEAABMAAAAAAAAAAAAAAAAAAAAAAFtDb250ZW50X1R5cGVzXS54&#10;bWxQSwECLQAUAAYACAAAACEAOP0h/9YAAACUAQAACwAAAAAAAAAAAAAAAAAvAQAAX3JlbHMvLnJl&#10;bHNQSwECLQAUAAYACAAAACEAoJXxPCYCAAAlBAAADgAAAAAAAAAAAAAAAAAuAgAAZHJzL2Uyb0Rv&#10;Yy54bWxQSwECLQAUAAYACAAAACEAaXXHKt4AAAAKAQAADwAAAAAAAAAAAAAAAACABAAAZHJzL2Rv&#10;d25yZXYueG1sUEsFBgAAAAAEAAQA8wAAAIsFAAAAAA==&#10;" stroked="f">
                <v:textbox>
                  <w:txbxContent>
                    <w:p w14:paraId="1956DFBD" w14:textId="3045A39B" w:rsidR="00EB6139" w:rsidRDefault="00EB6139">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0">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v:textbox>
                <w10:wrap type="square" anchorx="page"/>
              </v:shape>
            </w:pict>
          </mc:Fallback>
        </mc:AlternateContent>
      </w:r>
      <w:r w:rsidR="0070070A">
        <w:rPr>
          <w:b/>
          <w:color w:val="00526F"/>
          <w:sz w:val="52"/>
          <w:szCs w:val="52"/>
        </w:rPr>
        <w:br w:type="page"/>
      </w:r>
    </w:p>
    <w:p w14:paraId="5607E300" w14:textId="77777777" w:rsidR="005D0013" w:rsidRDefault="005D0013" w:rsidP="0070070A">
      <w:pPr>
        <w:overflowPunct/>
        <w:autoSpaceDE/>
        <w:autoSpaceDN/>
        <w:adjustRightInd/>
        <w:spacing w:after="0" w:line="240" w:lineRule="auto"/>
        <w:jc w:val="both"/>
        <w:textAlignment w:val="auto"/>
        <w:rPr>
          <w:b/>
          <w:color w:val="00526F"/>
          <w:sz w:val="52"/>
          <w:szCs w:val="52"/>
        </w:rPr>
        <w:sectPr w:rsidR="005D0013" w:rsidSect="00F75EAD">
          <w:headerReference w:type="default" r:id="rId11"/>
          <w:footerReference w:type="default" r:id="rId12"/>
          <w:pgSz w:w="11906" w:h="16838"/>
          <w:pgMar w:top="720" w:right="720" w:bottom="720" w:left="720" w:header="567" w:footer="567" w:gutter="0"/>
          <w:cols w:space="720"/>
          <w:titlePg/>
          <w:docGrid w:linePitch="360"/>
        </w:sectPr>
      </w:pPr>
    </w:p>
    <w:p w14:paraId="19495008" w14:textId="35D669C1" w:rsidR="001F7ADC" w:rsidRPr="007F48BC" w:rsidRDefault="001F7ADC" w:rsidP="001F7ADC">
      <w:pPr>
        <w:pStyle w:val="Heading1"/>
      </w:pPr>
      <w:bookmarkStart w:id="1" w:name="_Toc52177102"/>
      <w:r w:rsidRPr="007F48BC">
        <w:lastRenderedPageBreak/>
        <w:t>Table of Contents</w:t>
      </w:r>
      <w:bookmarkEnd w:id="1"/>
    </w:p>
    <w:p w14:paraId="50B6A2AF" w14:textId="794F5A1B" w:rsidR="00EB6139" w:rsidRPr="00EB6139" w:rsidRDefault="001F7ADC" w:rsidP="00EB6139">
      <w:pPr>
        <w:pStyle w:val="TOC1"/>
        <w:spacing w:line="360" w:lineRule="auto"/>
        <w:rPr>
          <w:rFonts w:ascii="Arial" w:eastAsiaTheme="minorEastAsia" w:hAnsi="Arial"/>
          <w:b w:val="0"/>
          <w:color w:val="auto"/>
          <w:sz w:val="24"/>
          <w:szCs w:val="24"/>
          <w:lang w:eastAsia="en-GB"/>
        </w:rPr>
      </w:pPr>
      <w:r w:rsidRPr="00EB6139">
        <w:rPr>
          <w:rFonts w:ascii="Arial" w:hAnsi="Arial"/>
          <w:b w:val="0"/>
          <w:color w:val="auto"/>
          <w:sz w:val="24"/>
          <w:szCs w:val="24"/>
        </w:rPr>
        <w:fldChar w:fldCharType="begin"/>
      </w:r>
      <w:r w:rsidRPr="00EB6139">
        <w:rPr>
          <w:rFonts w:ascii="Arial" w:hAnsi="Arial"/>
          <w:b w:val="0"/>
          <w:color w:val="auto"/>
          <w:sz w:val="24"/>
          <w:szCs w:val="24"/>
        </w:rPr>
        <w:instrText xml:space="preserve"> TOC \o "1-3" \h \z \u </w:instrText>
      </w:r>
      <w:r w:rsidRPr="00EB6139">
        <w:rPr>
          <w:rFonts w:ascii="Arial" w:hAnsi="Arial"/>
          <w:b w:val="0"/>
          <w:color w:val="auto"/>
          <w:sz w:val="24"/>
          <w:szCs w:val="24"/>
        </w:rPr>
        <w:fldChar w:fldCharType="separate"/>
      </w:r>
      <w:hyperlink w:anchor="_Toc52177102" w:history="1">
        <w:r w:rsidR="00EB6139" w:rsidRPr="00EB6139">
          <w:rPr>
            <w:rStyle w:val="Hyperlink"/>
            <w:rFonts w:ascii="Arial" w:hAnsi="Arial"/>
            <w:b w:val="0"/>
            <w:color w:val="auto"/>
            <w:sz w:val="24"/>
            <w:szCs w:val="24"/>
          </w:rPr>
          <w:t>Table of Contents</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_Toc52177102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sidR="00B34361">
          <w:rPr>
            <w:rFonts w:ascii="Arial" w:hAnsi="Arial"/>
            <w:b w:val="0"/>
            <w:webHidden/>
            <w:color w:val="auto"/>
            <w:sz w:val="24"/>
            <w:szCs w:val="24"/>
          </w:rPr>
          <w:t>2</w:t>
        </w:r>
        <w:r w:rsidR="00EB6139" w:rsidRPr="00EB6139">
          <w:rPr>
            <w:rFonts w:ascii="Arial" w:hAnsi="Arial"/>
            <w:b w:val="0"/>
            <w:webHidden/>
            <w:color w:val="auto"/>
            <w:sz w:val="24"/>
            <w:szCs w:val="24"/>
          </w:rPr>
          <w:fldChar w:fldCharType="end"/>
        </w:r>
      </w:hyperlink>
    </w:p>
    <w:p w14:paraId="098BE1CE" w14:textId="6A4DFA82" w:rsidR="00EB6139" w:rsidRPr="00EB6139" w:rsidRDefault="00B34361" w:rsidP="00EB6139">
      <w:pPr>
        <w:pStyle w:val="TOC1"/>
        <w:spacing w:line="360" w:lineRule="auto"/>
        <w:rPr>
          <w:rFonts w:ascii="Arial" w:eastAsiaTheme="minorEastAsia" w:hAnsi="Arial"/>
          <w:b w:val="0"/>
          <w:color w:val="auto"/>
          <w:sz w:val="24"/>
          <w:szCs w:val="24"/>
          <w:lang w:eastAsia="en-GB"/>
        </w:rPr>
      </w:pPr>
      <w:hyperlink w:anchor="_Toc52177103" w:history="1">
        <w:r w:rsidR="00EB6139" w:rsidRPr="00EB6139">
          <w:rPr>
            <w:rStyle w:val="Hyperlink"/>
            <w:rFonts w:ascii="Arial" w:hAnsi="Arial"/>
            <w:b w:val="0"/>
            <w:color w:val="auto"/>
            <w:sz w:val="24"/>
            <w:szCs w:val="24"/>
          </w:rPr>
          <w:t>Introduction</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_Toc52177103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Pr>
            <w:rFonts w:ascii="Arial" w:hAnsi="Arial"/>
            <w:b w:val="0"/>
            <w:webHidden/>
            <w:color w:val="auto"/>
            <w:sz w:val="24"/>
            <w:szCs w:val="24"/>
          </w:rPr>
          <w:t>3</w:t>
        </w:r>
        <w:r w:rsidR="00EB6139" w:rsidRPr="00EB6139">
          <w:rPr>
            <w:rFonts w:ascii="Arial" w:hAnsi="Arial"/>
            <w:b w:val="0"/>
            <w:webHidden/>
            <w:color w:val="auto"/>
            <w:sz w:val="24"/>
            <w:szCs w:val="24"/>
          </w:rPr>
          <w:fldChar w:fldCharType="end"/>
        </w:r>
      </w:hyperlink>
    </w:p>
    <w:p w14:paraId="56624139" w14:textId="56A10A83"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04" w:history="1">
        <w:r w:rsidR="00EB6139" w:rsidRPr="00EB6139">
          <w:rPr>
            <w:rStyle w:val="Hyperlink"/>
            <w:rFonts w:ascii="Arial" w:hAnsi="Arial"/>
            <w:b w:val="0"/>
            <w:color w:val="auto"/>
            <w:sz w:val="24"/>
            <w:szCs w:val="24"/>
          </w:rPr>
          <w:t>Revisions Policy</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_Toc52177104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4</w:t>
        </w:r>
        <w:r w:rsidR="00EB6139" w:rsidRPr="00EB6139">
          <w:rPr>
            <w:rFonts w:ascii="Arial" w:hAnsi="Arial"/>
            <w:b w:val="0"/>
            <w:webHidden/>
            <w:sz w:val="24"/>
            <w:szCs w:val="24"/>
          </w:rPr>
          <w:fldChar w:fldCharType="end"/>
        </w:r>
      </w:hyperlink>
    </w:p>
    <w:p w14:paraId="126D1A0D" w14:textId="283548AB" w:rsidR="00EB6139" w:rsidRPr="00EB6139" w:rsidRDefault="00B34361" w:rsidP="00EB6139">
      <w:pPr>
        <w:pStyle w:val="TOC1"/>
        <w:spacing w:line="360" w:lineRule="auto"/>
        <w:rPr>
          <w:rFonts w:ascii="Arial" w:eastAsiaTheme="minorEastAsia" w:hAnsi="Arial"/>
          <w:b w:val="0"/>
          <w:color w:val="auto"/>
          <w:sz w:val="24"/>
          <w:szCs w:val="24"/>
          <w:lang w:eastAsia="en-GB"/>
        </w:rPr>
      </w:pPr>
      <w:hyperlink w:anchor="_Toc52177105" w:history="1">
        <w:r w:rsidR="00EB6139" w:rsidRPr="00EB6139">
          <w:rPr>
            <w:rStyle w:val="Hyperlink"/>
            <w:rFonts w:ascii="Arial" w:hAnsi="Arial"/>
            <w:b w:val="0"/>
            <w:color w:val="auto"/>
            <w:sz w:val="24"/>
            <w:szCs w:val="24"/>
          </w:rPr>
          <w:t>Waste Incinerated in Scotland</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_Toc52177105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Pr>
            <w:rFonts w:ascii="Arial" w:hAnsi="Arial"/>
            <w:b w:val="0"/>
            <w:webHidden/>
            <w:color w:val="auto"/>
            <w:sz w:val="24"/>
            <w:szCs w:val="24"/>
          </w:rPr>
          <w:t>5</w:t>
        </w:r>
        <w:r w:rsidR="00EB6139" w:rsidRPr="00EB6139">
          <w:rPr>
            <w:rFonts w:ascii="Arial" w:hAnsi="Arial"/>
            <w:b w:val="0"/>
            <w:webHidden/>
            <w:color w:val="auto"/>
            <w:sz w:val="24"/>
            <w:szCs w:val="24"/>
          </w:rPr>
          <w:fldChar w:fldCharType="end"/>
        </w:r>
      </w:hyperlink>
    </w:p>
    <w:p w14:paraId="7E8D1F3D" w14:textId="4A9E5463"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06" w:history="1">
        <w:r w:rsidR="00EB6139" w:rsidRPr="00EB6139">
          <w:rPr>
            <w:rStyle w:val="Hyperlink"/>
            <w:rFonts w:ascii="Arial" w:hAnsi="Arial"/>
            <w:b w:val="0"/>
            <w:color w:val="auto"/>
            <w:sz w:val="24"/>
            <w:szCs w:val="24"/>
          </w:rPr>
          <w:t>Introduction</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_Toc52177106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5</w:t>
        </w:r>
        <w:r w:rsidR="00EB6139" w:rsidRPr="00EB6139">
          <w:rPr>
            <w:rFonts w:ascii="Arial" w:hAnsi="Arial"/>
            <w:b w:val="0"/>
            <w:webHidden/>
            <w:sz w:val="24"/>
            <w:szCs w:val="24"/>
          </w:rPr>
          <w:fldChar w:fldCharType="end"/>
        </w:r>
      </w:hyperlink>
    </w:p>
    <w:p w14:paraId="06F4620C" w14:textId="396DD624"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07" w:history="1">
        <w:r w:rsidR="00EB6139" w:rsidRPr="00EB6139">
          <w:rPr>
            <w:rStyle w:val="Hyperlink"/>
            <w:rFonts w:ascii="Arial" w:hAnsi="Arial"/>
            <w:b w:val="0"/>
            <w:color w:val="auto"/>
            <w:sz w:val="24"/>
            <w:szCs w:val="24"/>
          </w:rPr>
          <w:t>Recovery by incineration and co-incineration within Scotland</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_Toc52177107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5</w:t>
        </w:r>
        <w:r w:rsidR="00EB6139" w:rsidRPr="00EB6139">
          <w:rPr>
            <w:rFonts w:ascii="Arial" w:hAnsi="Arial"/>
            <w:b w:val="0"/>
            <w:webHidden/>
            <w:sz w:val="24"/>
            <w:szCs w:val="24"/>
          </w:rPr>
          <w:fldChar w:fldCharType="end"/>
        </w:r>
      </w:hyperlink>
    </w:p>
    <w:p w14:paraId="686215A3" w14:textId="7FD202EF"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08" w:history="1">
        <w:r w:rsidR="00EB6139" w:rsidRPr="00EB6139">
          <w:rPr>
            <w:rStyle w:val="Hyperlink"/>
            <w:rFonts w:ascii="Arial" w:hAnsi="Arial"/>
            <w:b w:val="0"/>
            <w:color w:val="auto"/>
            <w:sz w:val="24"/>
            <w:szCs w:val="24"/>
          </w:rPr>
          <w:t>Disposal by incineration in Scotland</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_Toc52177108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6</w:t>
        </w:r>
        <w:r w:rsidR="00EB6139" w:rsidRPr="00EB6139">
          <w:rPr>
            <w:rFonts w:ascii="Arial" w:hAnsi="Arial"/>
            <w:b w:val="0"/>
            <w:webHidden/>
            <w:sz w:val="24"/>
            <w:szCs w:val="24"/>
          </w:rPr>
          <w:fldChar w:fldCharType="end"/>
        </w:r>
      </w:hyperlink>
    </w:p>
    <w:p w14:paraId="15E4FFA9" w14:textId="1FE2A0A8" w:rsidR="00EB6139" w:rsidRPr="00EB6139" w:rsidRDefault="00B34361" w:rsidP="00EB6139">
      <w:pPr>
        <w:pStyle w:val="TOC1"/>
        <w:spacing w:line="360" w:lineRule="auto"/>
        <w:rPr>
          <w:rFonts w:ascii="Arial" w:eastAsiaTheme="minorEastAsia" w:hAnsi="Arial"/>
          <w:b w:val="0"/>
          <w:color w:val="auto"/>
          <w:sz w:val="24"/>
          <w:szCs w:val="24"/>
          <w:lang w:eastAsia="en-GB"/>
        </w:rPr>
      </w:pPr>
      <w:hyperlink w:anchor="_Toc52177109" w:history="1">
        <w:r w:rsidR="00EB6139" w:rsidRPr="00EB6139">
          <w:rPr>
            <w:rStyle w:val="Hyperlink"/>
            <w:rFonts w:ascii="Arial" w:hAnsi="Arial"/>
            <w:b w:val="0"/>
            <w:color w:val="auto"/>
            <w:sz w:val="24"/>
            <w:szCs w:val="24"/>
          </w:rPr>
          <w:t>Further information</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_Toc52177109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Pr>
            <w:rFonts w:ascii="Arial" w:hAnsi="Arial"/>
            <w:b w:val="0"/>
            <w:webHidden/>
            <w:color w:val="auto"/>
            <w:sz w:val="24"/>
            <w:szCs w:val="24"/>
          </w:rPr>
          <w:t>7</w:t>
        </w:r>
        <w:r w:rsidR="00EB6139" w:rsidRPr="00EB6139">
          <w:rPr>
            <w:rFonts w:ascii="Arial" w:hAnsi="Arial"/>
            <w:b w:val="0"/>
            <w:webHidden/>
            <w:color w:val="auto"/>
            <w:sz w:val="24"/>
            <w:szCs w:val="24"/>
          </w:rPr>
          <w:fldChar w:fldCharType="end"/>
        </w:r>
      </w:hyperlink>
    </w:p>
    <w:p w14:paraId="0D30AA06" w14:textId="4FFBAF5B"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10" w:history="1">
        <w:r w:rsidR="00EB6139" w:rsidRPr="00EB6139">
          <w:rPr>
            <w:rStyle w:val="Hyperlink"/>
            <w:rFonts w:ascii="Arial" w:hAnsi="Arial"/>
            <w:b w:val="0"/>
            <w:color w:val="auto"/>
            <w:sz w:val="24"/>
            <w:szCs w:val="24"/>
          </w:rPr>
          <w:t>Contacting Us</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_Toc52177110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7</w:t>
        </w:r>
        <w:r w:rsidR="00EB6139" w:rsidRPr="00EB6139">
          <w:rPr>
            <w:rFonts w:ascii="Arial" w:hAnsi="Arial"/>
            <w:b w:val="0"/>
            <w:webHidden/>
            <w:sz w:val="24"/>
            <w:szCs w:val="24"/>
          </w:rPr>
          <w:fldChar w:fldCharType="end"/>
        </w:r>
      </w:hyperlink>
    </w:p>
    <w:p w14:paraId="1EF7616D" w14:textId="1030DA4A" w:rsidR="00EB6139" w:rsidRPr="00EB6139" w:rsidRDefault="00B34361" w:rsidP="00EB6139">
      <w:pPr>
        <w:pStyle w:val="TOC1"/>
        <w:spacing w:line="360" w:lineRule="auto"/>
        <w:rPr>
          <w:rFonts w:ascii="Arial" w:eastAsiaTheme="minorEastAsia" w:hAnsi="Arial"/>
          <w:b w:val="0"/>
          <w:color w:val="auto"/>
          <w:sz w:val="24"/>
          <w:szCs w:val="24"/>
          <w:lang w:eastAsia="en-GB"/>
        </w:rPr>
      </w:pPr>
      <w:hyperlink w:anchor="_Toc52177111" w:history="1">
        <w:r w:rsidR="00EB6139" w:rsidRPr="00EB6139">
          <w:rPr>
            <w:rStyle w:val="Hyperlink"/>
            <w:rFonts w:ascii="Arial" w:hAnsi="Arial"/>
            <w:b w:val="0"/>
            <w:color w:val="auto"/>
            <w:sz w:val="24"/>
            <w:szCs w:val="24"/>
          </w:rPr>
          <w:t>Appendix 1</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_Toc52177111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Pr>
            <w:rFonts w:ascii="Arial" w:hAnsi="Arial"/>
            <w:b w:val="0"/>
            <w:webHidden/>
            <w:color w:val="auto"/>
            <w:sz w:val="24"/>
            <w:szCs w:val="24"/>
          </w:rPr>
          <w:t>8</w:t>
        </w:r>
        <w:r w:rsidR="00EB6139" w:rsidRPr="00EB6139">
          <w:rPr>
            <w:rFonts w:ascii="Arial" w:hAnsi="Arial"/>
            <w:b w:val="0"/>
            <w:webHidden/>
            <w:color w:val="auto"/>
            <w:sz w:val="24"/>
            <w:szCs w:val="24"/>
          </w:rPr>
          <w:fldChar w:fldCharType="end"/>
        </w:r>
      </w:hyperlink>
    </w:p>
    <w:p w14:paraId="136163BF" w14:textId="6A32EE22"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12" w:history="1">
        <w:r w:rsidR="00EB6139" w:rsidRPr="00EB6139">
          <w:rPr>
            <w:rStyle w:val="Hyperlink"/>
            <w:rFonts w:ascii="Arial" w:hAnsi="Arial"/>
            <w:b w:val="0"/>
            <w:color w:val="auto"/>
            <w:sz w:val="24"/>
            <w:szCs w:val="24"/>
          </w:rPr>
          <w:t>Datasets used in the 2019 methodology</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_Toc52177112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8</w:t>
        </w:r>
        <w:r w:rsidR="00EB6139" w:rsidRPr="00EB6139">
          <w:rPr>
            <w:rFonts w:ascii="Arial" w:hAnsi="Arial"/>
            <w:b w:val="0"/>
            <w:webHidden/>
            <w:sz w:val="24"/>
            <w:szCs w:val="24"/>
          </w:rPr>
          <w:fldChar w:fldCharType="end"/>
        </w:r>
      </w:hyperlink>
    </w:p>
    <w:p w14:paraId="1A3C655D" w14:textId="29B08088" w:rsidR="00EB6139" w:rsidRPr="00EB6139" w:rsidRDefault="00B34361" w:rsidP="00EB6139">
      <w:pPr>
        <w:pStyle w:val="TOC1"/>
        <w:spacing w:line="360" w:lineRule="auto"/>
        <w:rPr>
          <w:rFonts w:ascii="Arial" w:eastAsiaTheme="minorEastAsia" w:hAnsi="Arial"/>
          <w:b w:val="0"/>
          <w:color w:val="auto"/>
          <w:sz w:val="24"/>
          <w:szCs w:val="24"/>
          <w:lang w:eastAsia="en-GB"/>
        </w:rPr>
      </w:pPr>
      <w:hyperlink w:anchor="_Toc52177113" w:history="1">
        <w:r w:rsidR="00EB6139" w:rsidRPr="00EB6139">
          <w:rPr>
            <w:rStyle w:val="Hyperlink"/>
            <w:rFonts w:ascii="Arial" w:hAnsi="Arial"/>
            <w:b w:val="0"/>
            <w:color w:val="auto"/>
            <w:sz w:val="24"/>
            <w:szCs w:val="24"/>
          </w:rPr>
          <w:t>Appendix 2</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_Toc52177113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Pr>
            <w:rFonts w:ascii="Arial" w:hAnsi="Arial"/>
            <w:b w:val="0"/>
            <w:webHidden/>
            <w:color w:val="auto"/>
            <w:sz w:val="24"/>
            <w:szCs w:val="24"/>
          </w:rPr>
          <w:t>9</w:t>
        </w:r>
        <w:r w:rsidR="00EB6139" w:rsidRPr="00EB6139">
          <w:rPr>
            <w:rFonts w:ascii="Arial" w:hAnsi="Arial"/>
            <w:b w:val="0"/>
            <w:webHidden/>
            <w:color w:val="auto"/>
            <w:sz w:val="24"/>
            <w:szCs w:val="24"/>
          </w:rPr>
          <w:fldChar w:fldCharType="end"/>
        </w:r>
      </w:hyperlink>
    </w:p>
    <w:p w14:paraId="1A09657F" w14:textId="6E83971E"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14" w:history="1">
        <w:r w:rsidR="00EB6139" w:rsidRPr="00EB6139">
          <w:rPr>
            <w:rStyle w:val="Hyperlink"/>
            <w:rFonts w:ascii="Arial" w:hAnsi="Arial"/>
            <w:b w:val="0"/>
            <w:color w:val="auto"/>
            <w:sz w:val="24"/>
            <w:szCs w:val="24"/>
          </w:rPr>
          <w:t>European Waste Catalogue</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_Toc52177114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9</w:t>
        </w:r>
        <w:r w:rsidR="00EB6139" w:rsidRPr="00EB6139">
          <w:rPr>
            <w:rFonts w:ascii="Arial" w:hAnsi="Arial"/>
            <w:b w:val="0"/>
            <w:webHidden/>
            <w:sz w:val="24"/>
            <w:szCs w:val="24"/>
          </w:rPr>
          <w:fldChar w:fldCharType="end"/>
        </w:r>
      </w:hyperlink>
    </w:p>
    <w:p w14:paraId="75878244" w14:textId="1BD3830F"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15" w:history="1">
        <w:r w:rsidR="00EB6139" w:rsidRPr="00EB6139">
          <w:rPr>
            <w:rStyle w:val="Hyperlink"/>
            <w:rFonts w:ascii="Arial" w:hAnsi="Arial"/>
            <w:b w:val="0"/>
            <w:color w:val="auto"/>
            <w:sz w:val="24"/>
            <w:szCs w:val="24"/>
          </w:rPr>
          <w:t>European Waste Catalogue List of Waste (EWC 2000)</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_Toc52177115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9</w:t>
        </w:r>
        <w:r w:rsidR="00EB6139" w:rsidRPr="00EB6139">
          <w:rPr>
            <w:rFonts w:ascii="Arial" w:hAnsi="Arial"/>
            <w:b w:val="0"/>
            <w:webHidden/>
            <w:sz w:val="24"/>
            <w:szCs w:val="24"/>
          </w:rPr>
          <w:fldChar w:fldCharType="end"/>
        </w:r>
      </w:hyperlink>
    </w:p>
    <w:p w14:paraId="6A9D4F54" w14:textId="69160F71"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16" w:history="1">
        <w:r w:rsidR="00EB6139" w:rsidRPr="00EB6139">
          <w:rPr>
            <w:rStyle w:val="Hyperlink"/>
            <w:rFonts w:ascii="Arial" w:hAnsi="Arial"/>
            <w:b w:val="0"/>
            <w:color w:val="auto"/>
            <w:sz w:val="24"/>
            <w:szCs w:val="24"/>
          </w:rPr>
          <w:t>European Waste Catalogue for Statistics (EWC-STAT)</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_Toc52177116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9</w:t>
        </w:r>
        <w:r w:rsidR="00EB6139" w:rsidRPr="00EB6139">
          <w:rPr>
            <w:rFonts w:ascii="Arial" w:hAnsi="Arial"/>
            <w:b w:val="0"/>
            <w:webHidden/>
            <w:sz w:val="24"/>
            <w:szCs w:val="24"/>
          </w:rPr>
          <w:fldChar w:fldCharType="end"/>
        </w:r>
      </w:hyperlink>
    </w:p>
    <w:p w14:paraId="2FF9479F" w14:textId="62D80927" w:rsidR="00EB6139" w:rsidRPr="00EB6139" w:rsidRDefault="00B34361" w:rsidP="00EB6139">
      <w:pPr>
        <w:pStyle w:val="TOC1"/>
        <w:spacing w:line="360" w:lineRule="auto"/>
        <w:rPr>
          <w:rFonts w:ascii="Arial" w:eastAsiaTheme="minorEastAsia" w:hAnsi="Arial"/>
          <w:b w:val="0"/>
          <w:color w:val="auto"/>
          <w:sz w:val="24"/>
          <w:szCs w:val="24"/>
          <w:lang w:eastAsia="en-GB"/>
        </w:rPr>
      </w:pPr>
      <w:hyperlink w:anchor="_Toc52177117" w:history="1">
        <w:r w:rsidR="00EB6139" w:rsidRPr="00EB6139">
          <w:rPr>
            <w:rStyle w:val="Hyperlink"/>
            <w:rFonts w:ascii="Arial" w:hAnsi="Arial"/>
            <w:b w:val="0"/>
            <w:color w:val="auto"/>
            <w:sz w:val="24"/>
            <w:szCs w:val="24"/>
          </w:rPr>
          <w:t>Appendix 3</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_Toc52177117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Pr>
            <w:rFonts w:ascii="Arial" w:hAnsi="Arial"/>
            <w:b w:val="0"/>
            <w:webHidden/>
            <w:color w:val="auto"/>
            <w:sz w:val="24"/>
            <w:szCs w:val="24"/>
          </w:rPr>
          <w:t>11</w:t>
        </w:r>
        <w:r w:rsidR="00EB6139" w:rsidRPr="00EB6139">
          <w:rPr>
            <w:rFonts w:ascii="Arial" w:hAnsi="Arial"/>
            <w:b w:val="0"/>
            <w:webHidden/>
            <w:color w:val="auto"/>
            <w:sz w:val="24"/>
            <w:szCs w:val="24"/>
          </w:rPr>
          <w:fldChar w:fldCharType="end"/>
        </w:r>
      </w:hyperlink>
    </w:p>
    <w:p w14:paraId="093D6D24" w14:textId="0D983F13"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18" w:history="1">
        <w:r w:rsidR="00EB6139" w:rsidRPr="00EB6139">
          <w:rPr>
            <w:rStyle w:val="Hyperlink"/>
            <w:rFonts w:ascii="Arial" w:hAnsi="Arial"/>
            <w:b w:val="0"/>
            <w:color w:val="auto"/>
            <w:sz w:val="24"/>
            <w:szCs w:val="24"/>
          </w:rPr>
          <w:t>Glossary</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_Toc52177118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11</w:t>
        </w:r>
        <w:r w:rsidR="00EB6139" w:rsidRPr="00EB6139">
          <w:rPr>
            <w:rFonts w:ascii="Arial" w:hAnsi="Arial"/>
            <w:b w:val="0"/>
            <w:webHidden/>
            <w:sz w:val="24"/>
            <w:szCs w:val="24"/>
          </w:rPr>
          <w:fldChar w:fldCharType="end"/>
        </w:r>
      </w:hyperlink>
    </w:p>
    <w:p w14:paraId="1490B168" w14:textId="55B1EA16" w:rsidR="00EB6139" w:rsidRPr="00EB6139" w:rsidRDefault="00B34361" w:rsidP="00EB6139">
      <w:pPr>
        <w:pStyle w:val="TOC1"/>
        <w:spacing w:line="360" w:lineRule="auto"/>
        <w:rPr>
          <w:rFonts w:ascii="Arial" w:eastAsiaTheme="minorEastAsia" w:hAnsi="Arial"/>
          <w:b w:val="0"/>
          <w:color w:val="auto"/>
          <w:sz w:val="24"/>
          <w:szCs w:val="24"/>
          <w:lang w:eastAsia="en-GB"/>
        </w:rPr>
      </w:pPr>
      <w:hyperlink w:anchor="_Toc52177119" w:history="1">
        <w:r w:rsidR="00EB6139" w:rsidRPr="00EB6139">
          <w:rPr>
            <w:rStyle w:val="Hyperlink"/>
            <w:rFonts w:ascii="Arial" w:hAnsi="Arial"/>
            <w:b w:val="0"/>
            <w:color w:val="auto"/>
            <w:sz w:val="24"/>
            <w:szCs w:val="24"/>
          </w:rPr>
          <w:t>Appendix 4</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_Toc52177119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Pr>
            <w:rFonts w:ascii="Arial" w:hAnsi="Arial"/>
            <w:b w:val="0"/>
            <w:webHidden/>
            <w:color w:val="auto"/>
            <w:sz w:val="24"/>
            <w:szCs w:val="24"/>
          </w:rPr>
          <w:t>12</w:t>
        </w:r>
        <w:r w:rsidR="00EB6139" w:rsidRPr="00EB6139">
          <w:rPr>
            <w:rFonts w:ascii="Arial" w:hAnsi="Arial"/>
            <w:b w:val="0"/>
            <w:webHidden/>
            <w:color w:val="auto"/>
            <w:sz w:val="24"/>
            <w:szCs w:val="24"/>
          </w:rPr>
          <w:fldChar w:fldCharType="end"/>
        </w:r>
      </w:hyperlink>
    </w:p>
    <w:p w14:paraId="0DF2A685" w14:textId="0F50F8AA" w:rsidR="00EB6139" w:rsidRPr="00EB6139" w:rsidRDefault="00B34361" w:rsidP="00EB6139">
      <w:pPr>
        <w:pStyle w:val="TOC2"/>
        <w:spacing w:line="360" w:lineRule="auto"/>
        <w:rPr>
          <w:rFonts w:ascii="Arial" w:eastAsiaTheme="minorEastAsia" w:hAnsi="Arial"/>
          <w:b w:val="0"/>
          <w:sz w:val="24"/>
          <w:szCs w:val="24"/>
          <w:lang w:eastAsia="en-GB"/>
        </w:rPr>
      </w:pPr>
      <w:hyperlink w:anchor="_Toc52177120" w:history="1">
        <w:r w:rsidR="00EB6139" w:rsidRPr="00EB6139">
          <w:rPr>
            <w:rStyle w:val="Hyperlink"/>
            <w:rFonts w:ascii="Arial" w:hAnsi="Arial"/>
            <w:b w:val="0"/>
            <w:color w:val="auto"/>
            <w:sz w:val="24"/>
            <w:szCs w:val="24"/>
          </w:rPr>
          <w:t>Acronyms</w:t>
        </w:r>
        <w:r w:rsidR="00EB6139" w:rsidRPr="00EB6139">
          <w:rPr>
            <w:rFonts w:ascii="Arial" w:hAnsi="Arial"/>
            <w:b w:val="0"/>
            <w:webHidden/>
            <w:sz w:val="24"/>
            <w:szCs w:val="24"/>
          </w:rPr>
          <w:tab/>
        </w:r>
        <w:r w:rsidR="00EB6139" w:rsidRPr="00EB6139">
          <w:rPr>
            <w:rFonts w:ascii="Arial" w:hAnsi="Arial"/>
            <w:b w:val="0"/>
            <w:webHidden/>
            <w:sz w:val="24"/>
            <w:szCs w:val="24"/>
          </w:rPr>
          <w:fldChar w:fldCharType="begin"/>
        </w:r>
        <w:r w:rsidR="00EB6139" w:rsidRPr="00EB6139">
          <w:rPr>
            <w:rFonts w:ascii="Arial" w:hAnsi="Arial"/>
            <w:b w:val="0"/>
            <w:webHidden/>
            <w:sz w:val="24"/>
            <w:szCs w:val="24"/>
          </w:rPr>
          <w:instrText xml:space="preserve"> PAGEREF _Toc52177120 \h </w:instrText>
        </w:r>
        <w:r w:rsidR="00EB6139" w:rsidRPr="00EB6139">
          <w:rPr>
            <w:rFonts w:ascii="Arial" w:hAnsi="Arial"/>
            <w:b w:val="0"/>
            <w:webHidden/>
            <w:sz w:val="24"/>
            <w:szCs w:val="24"/>
          </w:rPr>
        </w:r>
        <w:r w:rsidR="00EB6139" w:rsidRPr="00EB6139">
          <w:rPr>
            <w:rFonts w:ascii="Arial" w:hAnsi="Arial"/>
            <w:b w:val="0"/>
            <w:webHidden/>
            <w:sz w:val="24"/>
            <w:szCs w:val="24"/>
          </w:rPr>
          <w:fldChar w:fldCharType="separate"/>
        </w:r>
        <w:r>
          <w:rPr>
            <w:rFonts w:ascii="Arial" w:hAnsi="Arial"/>
            <w:b w:val="0"/>
            <w:webHidden/>
            <w:sz w:val="24"/>
            <w:szCs w:val="24"/>
          </w:rPr>
          <w:t>12</w:t>
        </w:r>
        <w:r w:rsidR="00EB6139" w:rsidRPr="00EB6139">
          <w:rPr>
            <w:rFonts w:ascii="Arial" w:hAnsi="Arial"/>
            <w:b w:val="0"/>
            <w:webHidden/>
            <w:sz w:val="24"/>
            <w:szCs w:val="24"/>
          </w:rPr>
          <w:fldChar w:fldCharType="end"/>
        </w:r>
      </w:hyperlink>
    </w:p>
    <w:p w14:paraId="30EAF796" w14:textId="797AB2E3" w:rsidR="00EB6139" w:rsidRPr="00EB6139" w:rsidRDefault="00B34361" w:rsidP="00EB6139">
      <w:pPr>
        <w:pStyle w:val="TOC1"/>
        <w:spacing w:line="360" w:lineRule="auto"/>
        <w:rPr>
          <w:rFonts w:ascii="Arial" w:eastAsiaTheme="minorEastAsia" w:hAnsi="Arial"/>
          <w:b w:val="0"/>
          <w:color w:val="auto"/>
          <w:sz w:val="24"/>
          <w:szCs w:val="24"/>
          <w:lang w:eastAsia="en-GB"/>
        </w:rPr>
      </w:pPr>
      <w:hyperlink w:anchor="_Toc52177121" w:history="1">
        <w:r w:rsidR="00EB6139" w:rsidRPr="00EB6139">
          <w:rPr>
            <w:rStyle w:val="Hyperlink"/>
            <w:rFonts w:ascii="Arial" w:hAnsi="Arial"/>
            <w:b w:val="0"/>
            <w:color w:val="auto"/>
            <w:sz w:val="24"/>
            <w:szCs w:val="24"/>
          </w:rPr>
          <w:t>Version Control</w:t>
        </w:r>
        <w:r w:rsidR="00EB6139" w:rsidRPr="00EB6139">
          <w:rPr>
            <w:rFonts w:ascii="Arial" w:hAnsi="Arial"/>
            <w:b w:val="0"/>
            <w:webHidden/>
            <w:color w:val="auto"/>
            <w:sz w:val="24"/>
            <w:szCs w:val="24"/>
          </w:rPr>
          <w:tab/>
        </w:r>
        <w:r w:rsidR="00EB6139" w:rsidRPr="00EB6139">
          <w:rPr>
            <w:rFonts w:ascii="Arial" w:hAnsi="Arial"/>
            <w:b w:val="0"/>
            <w:webHidden/>
            <w:color w:val="auto"/>
            <w:sz w:val="24"/>
            <w:szCs w:val="24"/>
          </w:rPr>
          <w:fldChar w:fldCharType="begin"/>
        </w:r>
        <w:r w:rsidR="00EB6139" w:rsidRPr="00EB6139">
          <w:rPr>
            <w:rFonts w:ascii="Arial" w:hAnsi="Arial"/>
            <w:b w:val="0"/>
            <w:webHidden/>
            <w:color w:val="auto"/>
            <w:sz w:val="24"/>
            <w:szCs w:val="24"/>
          </w:rPr>
          <w:instrText xml:space="preserve"> PAGEREF _Toc52177121 \h </w:instrText>
        </w:r>
        <w:r w:rsidR="00EB6139" w:rsidRPr="00EB6139">
          <w:rPr>
            <w:rFonts w:ascii="Arial" w:hAnsi="Arial"/>
            <w:b w:val="0"/>
            <w:webHidden/>
            <w:color w:val="auto"/>
            <w:sz w:val="24"/>
            <w:szCs w:val="24"/>
          </w:rPr>
        </w:r>
        <w:r w:rsidR="00EB6139" w:rsidRPr="00EB6139">
          <w:rPr>
            <w:rFonts w:ascii="Arial" w:hAnsi="Arial"/>
            <w:b w:val="0"/>
            <w:webHidden/>
            <w:color w:val="auto"/>
            <w:sz w:val="24"/>
            <w:szCs w:val="24"/>
          </w:rPr>
          <w:fldChar w:fldCharType="separate"/>
        </w:r>
        <w:r>
          <w:rPr>
            <w:rFonts w:ascii="Arial" w:hAnsi="Arial"/>
            <w:b w:val="0"/>
            <w:webHidden/>
            <w:color w:val="auto"/>
            <w:sz w:val="24"/>
            <w:szCs w:val="24"/>
          </w:rPr>
          <w:t>13</w:t>
        </w:r>
        <w:r w:rsidR="00EB6139" w:rsidRPr="00EB6139">
          <w:rPr>
            <w:rFonts w:ascii="Arial" w:hAnsi="Arial"/>
            <w:b w:val="0"/>
            <w:webHidden/>
            <w:color w:val="auto"/>
            <w:sz w:val="24"/>
            <w:szCs w:val="24"/>
          </w:rPr>
          <w:fldChar w:fldCharType="end"/>
        </w:r>
      </w:hyperlink>
    </w:p>
    <w:p w14:paraId="0336A76C" w14:textId="2A2E63C7" w:rsidR="001F7ADC" w:rsidRPr="00677B70" w:rsidRDefault="001F7ADC" w:rsidP="00EB6139">
      <w:pPr>
        <w:jc w:val="right"/>
      </w:pPr>
      <w:r w:rsidRPr="00EB6139">
        <w:rPr>
          <w:rFonts w:cs="Arial"/>
          <w:noProof/>
          <w:szCs w:val="24"/>
        </w:rPr>
        <w:fldChar w:fldCharType="end"/>
      </w:r>
    </w:p>
    <w:p w14:paraId="62C19AF8" w14:textId="77777777" w:rsidR="001F7ADC" w:rsidRPr="00B76B7B" w:rsidRDefault="001F7ADC" w:rsidP="001F7ADC">
      <w:pPr>
        <w:pStyle w:val="Heading1"/>
        <w:pageBreakBefore/>
        <w:tabs>
          <w:tab w:val="num" w:pos="432"/>
        </w:tabs>
        <w:overflowPunct/>
        <w:autoSpaceDE/>
        <w:autoSpaceDN/>
        <w:adjustRightInd/>
        <w:spacing w:before="0" w:after="240"/>
        <w:ind w:left="431" w:hanging="431"/>
        <w:jc w:val="both"/>
        <w:textAlignment w:val="auto"/>
      </w:pPr>
      <w:bookmarkStart w:id="2" w:name="_Ref486596653"/>
      <w:bookmarkStart w:id="3" w:name="_Toc52177103"/>
      <w:r w:rsidRPr="00B76B7B">
        <w:lastRenderedPageBreak/>
        <w:t>Introductio</w:t>
      </w:r>
      <w:r>
        <w:t>n</w:t>
      </w:r>
      <w:bookmarkEnd w:id="2"/>
      <w:bookmarkEnd w:id="3"/>
    </w:p>
    <w:p w14:paraId="386319E7" w14:textId="77777777" w:rsidR="001F7ADC" w:rsidRDefault="001F7ADC" w:rsidP="001F7ADC">
      <w:r w:rsidRPr="00B142AB">
        <w:t xml:space="preserve">This report describes the methodologies to produce summary waste </w:t>
      </w:r>
      <w:r>
        <w:t xml:space="preserve">incinerated in Scotland </w:t>
      </w:r>
      <w:r w:rsidRPr="00B142AB">
        <w:t>data</w:t>
      </w:r>
      <w:r>
        <w:t xml:space="preserve"> </w:t>
      </w:r>
      <w:r w:rsidRPr="00B142AB">
        <w:t>for the</w:t>
      </w:r>
      <w:r>
        <w:t xml:space="preserve"> 2019</w:t>
      </w:r>
      <w:r w:rsidRPr="00B142AB">
        <w:t xml:space="preserve"> calendar year. The report should be used alongside the </w:t>
      </w:r>
      <w:r>
        <w:t>2019</w:t>
      </w:r>
      <w:r w:rsidRPr="00B142AB">
        <w:t xml:space="preserve"> </w:t>
      </w:r>
      <w:r>
        <w:t>Waste incinerated in Scotland official statistics and associated</w:t>
      </w:r>
      <w:r w:rsidRPr="00B142AB">
        <w:t xml:space="preserve"> data</w:t>
      </w:r>
      <w:r>
        <w:t xml:space="preserve"> tables</w:t>
      </w:r>
    </w:p>
    <w:p w14:paraId="4CE57C6C" w14:textId="77777777" w:rsidR="001F7ADC" w:rsidRDefault="001F7ADC" w:rsidP="001F7ADC">
      <w:r>
        <w:t>The 2019 data are presented as follows:</w:t>
      </w:r>
    </w:p>
    <w:p w14:paraId="1AE31C58" w14:textId="233DFEDC" w:rsidR="001F7ADC" w:rsidRDefault="001F7ADC" w:rsidP="001F7ADC">
      <w:pPr>
        <w:numPr>
          <w:ilvl w:val="0"/>
          <w:numId w:val="29"/>
        </w:numPr>
        <w:overflowPunct/>
        <w:autoSpaceDE/>
        <w:autoSpaceDN/>
        <w:adjustRightInd/>
        <w:spacing w:before="60" w:after="240"/>
        <w:ind w:left="709" w:hanging="142"/>
        <w:textAlignment w:val="auto"/>
      </w:pPr>
      <w:r>
        <w:t xml:space="preserve">The Waste incinerated in Scotland and associated data tables are presented in a summary and commentary document.  This narrative describes the major trends and provides an interpretation of the data. They are located at </w:t>
      </w:r>
      <w:hyperlink r:id="rId13" w:history="1">
        <w:r w:rsidRPr="006A44C6">
          <w:rPr>
            <w:rStyle w:val="Hyperlink"/>
          </w:rPr>
          <w:t>www.sepa.org.uk/environment/waste/waste-data/waste-data-reporting/waste-data-for-scotland/</w:t>
        </w:r>
      </w:hyperlink>
      <w:r w:rsidRPr="008B4A7B">
        <w:rPr>
          <w:rStyle w:val="Hyperlink"/>
        </w:rPr>
        <w:t>.</w:t>
      </w:r>
    </w:p>
    <w:p w14:paraId="15C31F08" w14:textId="34945758" w:rsidR="001F7ADC" w:rsidRDefault="001F7ADC" w:rsidP="001F7ADC">
      <w:pPr>
        <w:numPr>
          <w:ilvl w:val="0"/>
          <w:numId w:val="29"/>
        </w:numPr>
        <w:overflowPunct/>
        <w:autoSpaceDE/>
        <w:autoSpaceDN/>
        <w:adjustRightInd/>
        <w:spacing w:before="60" w:after="240"/>
        <w:ind w:left="709" w:hanging="142"/>
        <w:textAlignment w:val="auto"/>
      </w:pPr>
      <w:r w:rsidRPr="000F7134">
        <w:t xml:space="preserve">Scotland’s Environment Waste Discover Data tool presents the </w:t>
      </w:r>
      <w:r>
        <w:t xml:space="preserve">waste from all sources (WFAS) </w:t>
      </w:r>
      <w:r w:rsidRPr="000F7134">
        <w:t xml:space="preserve">in an interactive and visual format and is found on Scotland’s Environment web at </w:t>
      </w:r>
      <w:hyperlink r:id="rId14" w:history="1">
        <w:r w:rsidR="00A72E5B" w:rsidRPr="006A44C6">
          <w:rPr>
            <w:rStyle w:val="Hyperlink"/>
          </w:rPr>
          <w:t>www.environment.scotland.gov.uk/get-interactive/data/waste-from-all-sources/</w:t>
        </w:r>
      </w:hyperlink>
      <w:r>
        <w:t>.  This tool covers</w:t>
      </w:r>
      <w:r w:rsidRPr="000F7134">
        <w:t xml:space="preserve"> the total waste managed, whether it be waste from households, waste f</w:t>
      </w:r>
      <w:r>
        <w:t>rom construction and demolition,</w:t>
      </w:r>
      <w:r w:rsidRPr="000F7134">
        <w:t xml:space="preserve"> or waste from commerce and</w:t>
      </w:r>
      <w:r>
        <w:t xml:space="preserve"> industry.  This tool includes the incineration dataset, and includes waste generated and waste management methods including waste recycled, incinerated, composted as well as waste incinerated. </w:t>
      </w:r>
    </w:p>
    <w:p w14:paraId="798A3F2F" w14:textId="77777777" w:rsidR="001F7ADC" w:rsidRDefault="001F7ADC" w:rsidP="001F7ADC">
      <w:pPr>
        <w:numPr>
          <w:ilvl w:val="0"/>
          <w:numId w:val="29"/>
        </w:numPr>
        <w:overflowPunct/>
        <w:autoSpaceDE/>
        <w:autoSpaceDN/>
        <w:adjustRightInd/>
        <w:spacing w:before="60" w:after="240"/>
        <w:ind w:left="709" w:hanging="142"/>
        <w:textAlignment w:val="auto"/>
      </w:pPr>
      <w:r>
        <w:t>It should be noted that to provide consistency across the datasets for the WFAS Discover tool, additional years of waste generation and management data, including incineration data, are updated at the same time.  The statistical release and excel landfill data tables are released about six months before the annual update of the WFAS Discover tool.  This is because the incineration data comes primarily from one discrete dataset and can be prepared and published earlier.</w:t>
      </w:r>
    </w:p>
    <w:p w14:paraId="47A6E0A4" w14:textId="77777777" w:rsidR="001F7ADC" w:rsidRDefault="001F7ADC" w:rsidP="001F7ADC">
      <w:r>
        <w:t>D</w:t>
      </w:r>
      <w:r w:rsidRPr="00B142AB">
        <w:t>ata sources referred to at various parts of the document are listed below. T</w:t>
      </w:r>
      <w:r>
        <w:t>he agency that carries</w:t>
      </w:r>
      <w:r w:rsidRPr="00B142AB">
        <w:t xml:space="preserve"> out the analysis of the d</w:t>
      </w:r>
      <w:r>
        <w:t>ataset is provided in brackets.</w:t>
      </w:r>
    </w:p>
    <w:p w14:paraId="6804C313" w14:textId="77777777" w:rsidR="001F7ADC" w:rsidRDefault="001F7ADC" w:rsidP="001F7ADC">
      <w:pPr>
        <w:pStyle w:val="ListParagraph"/>
        <w:numPr>
          <w:ilvl w:val="0"/>
          <w:numId w:val="28"/>
        </w:numPr>
        <w:overflowPunct/>
        <w:autoSpaceDE/>
        <w:autoSpaceDN/>
        <w:adjustRightInd/>
        <w:spacing w:before="60" w:after="240"/>
        <w:jc w:val="both"/>
        <w:textAlignment w:val="auto"/>
      </w:pPr>
      <w:r w:rsidRPr="00B142AB">
        <w:t>Scottish licensed/permitted site returns (SEPA)</w:t>
      </w:r>
    </w:p>
    <w:p w14:paraId="22517942" w14:textId="77777777" w:rsidR="00B34361" w:rsidRPr="001A38F6" w:rsidRDefault="001F7ADC" w:rsidP="00B34361">
      <w:r>
        <w:fldChar w:fldCharType="begin"/>
      </w:r>
      <w:r>
        <w:instrText xml:space="preserve"> REF _Ref366058772 \h  \* MERGEFORMAT </w:instrText>
      </w:r>
      <w:r>
        <w:fldChar w:fldCharType="separate"/>
      </w:r>
      <w:r w:rsidR="00B34361" w:rsidRPr="001A38F6">
        <w:t>Contacting Us</w:t>
      </w:r>
    </w:p>
    <w:p w14:paraId="2AA5A029" w14:textId="77777777" w:rsidR="00B34361" w:rsidRDefault="00B34361" w:rsidP="001F7ADC">
      <w:r w:rsidRPr="00B142AB">
        <w:lastRenderedPageBreak/>
        <w:t xml:space="preserve">If you have any queries on the contents of this document or the accompanying waste data tables, </w:t>
      </w:r>
      <w:r>
        <w:t>please contact the Dataflows Unit by email, phone or in writing.</w:t>
      </w:r>
    </w:p>
    <w:p w14:paraId="2EFE0DCD" w14:textId="77777777" w:rsidR="00B34361" w:rsidRPr="001A38F6" w:rsidRDefault="00B34361" w:rsidP="001F7ADC">
      <w:pPr>
        <w:pStyle w:val="Subtitle"/>
        <w:spacing w:line="360" w:lineRule="auto"/>
      </w:pPr>
      <w:r>
        <w:t>By Email</w:t>
      </w:r>
    </w:p>
    <w:p w14:paraId="63644132" w14:textId="77777777" w:rsidR="00B34361" w:rsidRDefault="00B34361" w:rsidP="001F7ADC">
      <w:r w:rsidRPr="00071B34">
        <w:t>waste.data@sepa.org.uk</w:t>
      </w:r>
    </w:p>
    <w:p w14:paraId="1825FF32" w14:textId="77777777" w:rsidR="00B34361" w:rsidRDefault="00B34361" w:rsidP="001F7ADC">
      <w:pPr>
        <w:pBdr>
          <w:top w:val="single" w:sz="4" w:space="1" w:color="auto"/>
          <w:left w:val="single" w:sz="4" w:space="4" w:color="auto"/>
          <w:bottom w:val="single" w:sz="4" w:space="1" w:color="auto"/>
          <w:right w:val="single" w:sz="4" w:space="4" w:color="auto"/>
        </w:pBdr>
      </w:pPr>
      <w:r w:rsidRPr="00365DB9">
        <w:rPr>
          <w:color w:val="FF0000"/>
        </w:rPr>
        <w:t xml:space="preserve">Note: During the COVID 19 emergency SEPA offices have been closed.  Please refer all correspondence to the email address above.  </w:t>
      </w:r>
    </w:p>
    <w:p w14:paraId="04BBE773" w14:textId="77777777" w:rsidR="00B34361" w:rsidRDefault="00B34361" w:rsidP="001F7ADC"/>
    <w:p w14:paraId="37AAE8CA" w14:textId="77777777" w:rsidR="00B34361" w:rsidRPr="001A38F6" w:rsidRDefault="00B34361" w:rsidP="001F7ADC">
      <w:r w:rsidRPr="001A38F6">
        <w:t>By Phone</w:t>
      </w:r>
    </w:p>
    <w:p w14:paraId="32B16832" w14:textId="77777777" w:rsidR="00B34361" w:rsidRDefault="00B34361" w:rsidP="001F7ADC">
      <w:r>
        <w:t>Telephone 03000 99 66 99</w:t>
      </w:r>
    </w:p>
    <w:p w14:paraId="5AF725B2" w14:textId="77777777" w:rsidR="00B34361" w:rsidRDefault="00B34361" w:rsidP="001F7ADC"/>
    <w:p w14:paraId="566E0E35" w14:textId="77777777" w:rsidR="00B34361" w:rsidRDefault="00B34361" w:rsidP="001F7ADC"/>
    <w:p w14:paraId="5723DA59" w14:textId="77777777" w:rsidR="00B34361" w:rsidRDefault="00B34361">
      <w:pPr>
        <w:overflowPunct/>
        <w:autoSpaceDE/>
        <w:autoSpaceDN/>
        <w:adjustRightInd/>
        <w:spacing w:after="0" w:line="240" w:lineRule="auto"/>
        <w:textAlignment w:val="auto"/>
        <w:rPr>
          <w:rFonts w:eastAsiaTheme="majorEastAsia" w:cstheme="majorBidi"/>
          <w:b/>
          <w:color w:val="00526F"/>
          <w:sz w:val="32"/>
          <w:szCs w:val="32"/>
        </w:rPr>
      </w:pPr>
      <w:r>
        <w:br w:type="page"/>
      </w:r>
    </w:p>
    <w:p w14:paraId="19BCA564" w14:textId="6255C68E" w:rsidR="001F7ADC" w:rsidRDefault="00B34361" w:rsidP="001F7ADC">
      <w:r w:rsidRPr="001A38F6">
        <w:lastRenderedPageBreak/>
        <w:t>Appendix 1</w:t>
      </w:r>
      <w:r w:rsidR="001F7ADC">
        <w:fldChar w:fldCharType="end"/>
      </w:r>
      <w:r w:rsidR="001F7ADC">
        <w:t xml:space="preserve"> provides a</w:t>
      </w:r>
      <w:r w:rsidR="001F7ADC" w:rsidRPr="00B142AB">
        <w:t xml:space="preserve"> fuller description </w:t>
      </w:r>
      <w:r w:rsidR="001F7ADC">
        <w:t>of the dataset(s) listed above</w:t>
      </w:r>
      <w:r w:rsidR="001F7ADC" w:rsidRPr="00B142AB">
        <w:t>, including any links to return forms and guidance</w:t>
      </w:r>
      <w:r w:rsidR="001F7ADC">
        <w:t>.</w:t>
      </w:r>
    </w:p>
    <w:p w14:paraId="7521BFF9" w14:textId="77777777" w:rsidR="001F7ADC" w:rsidRDefault="001F7ADC" w:rsidP="001F7ADC">
      <w:r>
        <w:t xml:space="preserve">Appendix 2 </w:t>
      </w:r>
      <w:r w:rsidRPr="00B142AB">
        <w:t>provides a brief summary of the coding of waste using European Waste Catalogue (EWC)</w:t>
      </w:r>
      <w:r>
        <w:t xml:space="preserve"> and European Waste Catalogue for Statistics (EWC-STAT)</w:t>
      </w:r>
      <w:r w:rsidRPr="00B142AB">
        <w:t xml:space="preserve">, which </w:t>
      </w:r>
      <w:r>
        <w:t>are used throughout this document.</w:t>
      </w:r>
    </w:p>
    <w:p w14:paraId="2163F5B1" w14:textId="77777777" w:rsidR="00B34361" w:rsidRPr="00B34361" w:rsidRDefault="001F7ADC" w:rsidP="00B34361">
      <w:r>
        <w:fldChar w:fldCharType="begin"/>
      </w:r>
      <w:r>
        <w:instrText xml:space="preserve"> REF _Ref425947113 \h  \* MERGEFORMAT </w:instrText>
      </w:r>
      <w:r>
        <w:fldChar w:fldCharType="separate"/>
      </w:r>
      <w:r w:rsidR="00B34361">
        <w:br w:type="page"/>
      </w:r>
    </w:p>
    <w:p w14:paraId="2ACE9AB6" w14:textId="1A36CAB7" w:rsidR="001F7ADC" w:rsidRPr="00513806" w:rsidRDefault="00B34361" w:rsidP="001F7ADC">
      <w:r w:rsidRPr="00A51B85">
        <w:lastRenderedPageBreak/>
        <w:t xml:space="preserve">Appendix </w:t>
      </w:r>
      <w:r w:rsidR="001F7ADC">
        <w:fldChar w:fldCharType="end"/>
      </w:r>
      <w:r w:rsidR="001F7ADC">
        <w:t>3 provides a glossary of terms.</w:t>
      </w:r>
    </w:p>
    <w:p w14:paraId="5311F748" w14:textId="78F04018" w:rsidR="001F7ADC" w:rsidRDefault="001F7ADC" w:rsidP="001F7ADC">
      <w:r>
        <w:fldChar w:fldCharType="begin"/>
      </w:r>
      <w:r>
        <w:instrText xml:space="preserve"> REF _Ref425947121 \h  \* MERGEFORMAT </w:instrText>
      </w:r>
      <w:r>
        <w:fldChar w:fldCharType="separate"/>
      </w:r>
      <w:r w:rsidR="00B34361" w:rsidRPr="00A51B85">
        <w:t xml:space="preserve">Appendix </w:t>
      </w:r>
      <w:r>
        <w:fldChar w:fldCharType="end"/>
      </w:r>
      <w:r>
        <w:t>4 provides a list of acronyms.</w:t>
      </w:r>
    </w:p>
    <w:p w14:paraId="734863B7" w14:textId="77777777" w:rsidR="001F7ADC" w:rsidRPr="000F7134" w:rsidRDefault="001F7ADC" w:rsidP="001F7ADC">
      <w:pPr>
        <w:pStyle w:val="Heading2"/>
        <w:numPr>
          <w:ilvl w:val="1"/>
          <w:numId w:val="0"/>
        </w:numPr>
        <w:tabs>
          <w:tab w:val="num" w:pos="576"/>
        </w:tabs>
        <w:overflowPunct/>
        <w:autoSpaceDE/>
        <w:autoSpaceDN/>
        <w:adjustRightInd/>
        <w:spacing w:before="400" w:after="240"/>
        <w:ind w:left="576" w:hanging="576"/>
        <w:jc w:val="both"/>
        <w:textAlignment w:val="auto"/>
      </w:pPr>
      <w:bookmarkStart w:id="4" w:name="_Toc52177104"/>
      <w:r>
        <w:t>Revisions Policy</w:t>
      </w:r>
      <w:bookmarkEnd w:id="4"/>
    </w:p>
    <w:p w14:paraId="3B264629" w14:textId="77777777" w:rsidR="001F7ADC" w:rsidRPr="00FA7F45" w:rsidRDefault="001F7ADC" w:rsidP="001F7ADC">
      <w:r w:rsidRPr="00FA7F45">
        <w:t xml:space="preserve">Revisions could occur for various reasons, including when data from third parties is unavailable or provisional at the time of publishing or if there are subsequent methodological improvements or refinements. </w:t>
      </w:r>
    </w:p>
    <w:p w14:paraId="465E7546" w14:textId="77777777" w:rsidR="001F7ADC" w:rsidRPr="00FA7F45" w:rsidRDefault="001F7ADC" w:rsidP="001F7ADC">
      <w:r w:rsidRPr="00FA7F45">
        <w:t>The figures are accurate at the time of publication.  However the data may be updated if further revisions are necessary.</w:t>
      </w:r>
      <w:r>
        <w:t xml:space="preserve"> </w:t>
      </w:r>
      <w:r w:rsidRPr="00FA7F45">
        <w:t xml:space="preserve"> Normally these revisions will be published concurrent with the next release.</w:t>
      </w:r>
    </w:p>
    <w:p w14:paraId="30C5EB3A" w14:textId="77777777" w:rsidR="001F7ADC" w:rsidRDefault="001F7ADC" w:rsidP="001F7ADC">
      <w:r>
        <w:t>Where there have been changes in methodology for the waste data tables, the complete dataset is to be revised for all years to ensure that comparisons between years are valid.</w:t>
      </w:r>
    </w:p>
    <w:p w14:paraId="33DDE005" w14:textId="77777777" w:rsidR="001F7ADC" w:rsidRDefault="001F7ADC" w:rsidP="001F7ADC">
      <w:pPr>
        <w:pStyle w:val="Heading1"/>
        <w:pageBreakBefore/>
        <w:tabs>
          <w:tab w:val="num" w:pos="432"/>
        </w:tabs>
        <w:overflowPunct/>
        <w:autoSpaceDE/>
        <w:autoSpaceDN/>
        <w:adjustRightInd/>
        <w:spacing w:before="0" w:after="240"/>
        <w:ind w:left="431" w:hanging="431"/>
        <w:jc w:val="both"/>
        <w:textAlignment w:val="auto"/>
      </w:pPr>
      <w:bookmarkStart w:id="5" w:name="_Toc425942826"/>
      <w:bookmarkStart w:id="6" w:name="_Toc425942938"/>
      <w:bookmarkStart w:id="7" w:name="_Toc425942827"/>
      <w:bookmarkStart w:id="8" w:name="_Toc425942939"/>
      <w:bookmarkStart w:id="9" w:name="_Toc425942828"/>
      <w:bookmarkStart w:id="10" w:name="_Toc425942940"/>
      <w:bookmarkStart w:id="11" w:name="_Toc425942829"/>
      <w:bookmarkStart w:id="12" w:name="_Toc425942941"/>
      <w:bookmarkStart w:id="13" w:name="_Toc425942830"/>
      <w:bookmarkStart w:id="14" w:name="_Toc425942942"/>
      <w:bookmarkStart w:id="15" w:name="_Toc425942831"/>
      <w:bookmarkStart w:id="16" w:name="_Toc425942943"/>
      <w:bookmarkStart w:id="17" w:name="_Toc425942832"/>
      <w:bookmarkStart w:id="18" w:name="_Toc425942944"/>
      <w:bookmarkStart w:id="19" w:name="_Toc52177105"/>
      <w:bookmarkStart w:id="20" w:name="_Ref360522626"/>
      <w:bookmarkEnd w:id="5"/>
      <w:bookmarkEnd w:id="6"/>
      <w:bookmarkEnd w:id="7"/>
      <w:bookmarkEnd w:id="8"/>
      <w:bookmarkEnd w:id="9"/>
      <w:bookmarkEnd w:id="10"/>
      <w:bookmarkEnd w:id="11"/>
      <w:bookmarkEnd w:id="12"/>
      <w:bookmarkEnd w:id="13"/>
      <w:bookmarkEnd w:id="14"/>
      <w:bookmarkEnd w:id="15"/>
      <w:bookmarkEnd w:id="16"/>
      <w:bookmarkEnd w:id="17"/>
      <w:bookmarkEnd w:id="18"/>
      <w:r>
        <w:lastRenderedPageBreak/>
        <w:t>Waste Incinerated in Scotland</w:t>
      </w:r>
      <w:bookmarkEnd w:id="19"/>
    </w:p>
    <w:p w14:paraId="61E7F263" w14:textId="77777777" w:rsidR="001F7ADC" w:rsidRPr="001A38F6" w:rsidRDefault="001F7ADC" w:rsidP="001F7ADC">
      <w:pPr>
        <w:pStyle w:val="Heading2"/>
        <w:numPr>
          <w:ilvl w:val="1"/>
          <w:numId w:val="0"/>
        </w:numPr>
        <w:tabs>
          <w:tab w:val="num" w:pos="576"/>
        </w:tabs>
        <w:overflowPunct/>
        <w:autoSpaceDE/>
        <w:autoSpaceDN/>
        <w:adjustRightInd/>
        <w:spacing w:before="400" w:after="240"/>
        <w:ind w:left="576" w:hanging="576"/>
        <w:jc w:val="both"/>
        <w:textAlignment w:val="auto"/>
      </w:pPr>
      <w:bookmarkStart w:id="21" w:name="_Toc52177106"/>
      <w:r w:rsidRPr="001A38F6">
        <w:t>Introduction</w:t>
      </w:r>
      <w:bookmarkEnd w:id="21"/>
      <w:r w:rsidRPr="001A38F6">
        <w:t xml:space="preserve"> </w:t>
      </w:r>
    </w:p>
    <w:p w14:paraId="1A4AA040" w14:textId="77777777" w:rsidR="001F7ADC" w:rsidRDefault="001F7ADC" w:rsidP="001F7ADC">
      <w:r w:rsidRPr="00B142AB">
        <w:t xml:space="preserve">This section describes how we report </w:t>
      </w:r>
      <w:r>
        <w:t>waste incinerated in Scotland.</w:t>
      </w:r>
    </w:p>
    <w:p w14:paraId="3BF27A63" w14:textId="77777777" w:rsidR="001F7ADC" w:rsidRPr="00B142AB" w:rsidRDefault="001F7ADC" w:rsidP="001F7ADC">
      <w:r w:rsidRPr="00B142AB">
        <w:t>A list of Scottish incinerators is maintained and checked with SEPA regulatory staff annually, prior to starting the analysis.</w:t>
      </w:r>
      <w:r>
        <w:t xml:space="preserve"> </w:t>
      </w:r>
      <w:r w:rsidRPr="00B142AB">
        <w:t xml:space="preserve"> For co-incinerators, we exclude any non</w:t>
      </w:r>
      <w:r>
        <w:t xml:space="preserve">-waste fuels from our analysis. </w:t>
      </w:r>
      <w:r w:rsidRPr="00B142AB">
        <w:t xml:space="preserve"> There were </w:t>
      </w:r>
      <w:r>
        <w:t>21 operational</w:t>
      </w:r>
      <w:r w:rsidRPr="00B142AB">
        <w:t xml:space="preserve"> sites used in the final </w:t>
      </w:r>
      <w:r>
        <w:t>2019 analysis.  These sites vary significantly in size, with 10 sites having incinerated under 500 tonnes of waste in 2019 and 5 sites incinerated over 100,000 tonnes in 2019.</w:t>
      </w:r>
    </w:p>
    <w:p w14:paraId="604DF836" w14:textId="77777777" w:rsidR="001F7ADC" w:rsidRDefault="001F7ADC" w:rsidP="001F7ADC">
      <w:r>
        <w:t>Waste</w:t>
      </w:r>
      <w:r w:rsidRPr="00B142AB">
        <w:t xml:space="preserve"> data </w:t>
      </w:r>
      <w:r>
        <w:t>are</w:t>
      </w:r>
      <w:r w:rsidRPr="00B142AB">
        <w:t xml:space="preserve"> supplied as EWC codes, which are aggregated into final reporting categories. </w:t>
      </w:r>
      <w:r>
        <w:t xml:space="preserve"> </w:t>
      </w:r>
      <w:r w:rsidRPr="00B142AB">
        <w:t>Waste type descriptions are separated into non-hazardous/hazardous</w:t>
      </w:r>
      <w:r>
        <w:t xml:space="preserve"> </w:t>
      </w:r>
      <w:r w:rsidRPr="00B142AB">
        <w:t xml:space="preserve">using European </w:t>
      </w:r>
      <w:r>
        <w:t>W</w:t>
      </w:r>
      <w:r w:rsidRPr="00B142AB">
        <w:t xml:space="preserve">aste </w:t>
      </w:r>
      <w:r>
        <w:t>Catalogue (EWC) codes.</w:t>
      </w:r>
    </w:p>
    <w:p w14:paraId="2A381E10" w14:textId="77777777" w:rsidR="001F7ADC" w:rsidRDefault="001F7ADC" w:rsidP="001F7ADC">
      <w:r w:rsidRPr="00B142AB">
        <w:t>The origin of waste incinerated (i.e</w:t>
      </w:r>
      <w:r>
        <w:t>.</w:t>
      </w:r>
      <w:r w:rsidRPr="00B142AB">
        <w:t xml:space="preserve"> Scottish/</w:t>
      </w:r>
      <w:r>
        <w:t>n</w:t>
      </w:r>
      <w:r w:rsidRPr="00B142AB">
        <w:t xml:space="preserve">on-Scottish) is only reported for sites using the </w:t>
      </w:r>
      <w:r>
        <w:t xml:space="preserve">licensed/permitted </w:t>
      </w:r>
      <w:r w:rsidRPr="00B142AB">
        <w:t xml:space="preserve">site returns. </w:t>
      </w:r>
      <w:r>
        <w:t xml:space="preserve"> The origin of the waste is reported in Table B (Waste </w:t>
      </w:r>
      <w:r w:rsidRPr="00B142AB">
        <w:t>inputs to site</w:t>
      </w:r>
      <w:r>
        <w:t xml:space="preserve">) of the licensed/permitted site return.  For any sites that complete Table C4 of the licensed/permitted site return, to report on wastes incinerated after being treated on-site, the waste origin is not reported.  It was assumed that wastes reported in table C4 had an origin of Scotland.  In 2019 there was only one site that reported waste incinerated in table C4.  At this site 95% of the waste inputs to the site were reported as Scotland in origin.  However, it is unknown if any of the 5% of non-Scottish waste were part of the wastes treated which were reported as incinerated in table C4. </w:t>
      </w:r>
    </w:p>
    <w:p w14:paraId="45E61B9C" w14:textId="77777777" w:rsidR="001F7ADC" w:rsidRPr="001A38F6" w:rsidRDefault="001F7ADC" w:rsidP="001F7ADC">
      <w:pPr>
        <w:pStyle w:val="Heading2"/>
        <w:numPr>
          <w:ilvl w:val="1"/>
          <w:numId w:val="0"/>
        </w:numPr>
        <w:tabs>
          <w:tab w:val="num" w:pos="576"/>
        </w:tabs>
        <w:overflowPunct/>
        <w:autoSpaceDE/>
        <w:autoSpaceDN/>
        <w:adjustRightInd/>
        <w:spacing w:before="400" w:after="240"/>
        <w:ind w:left="576" w:hanging="576"/>
        <w:jc w:val="both"/>
        <w:textAlignment w:val="auto"/>
      </w:pPr>
      <w:bookmarkStart w:id="22" w:name="_Toc52177107"/>
      <w:r w:rsidRPr="001A38F6">
        <w:t>Recovery by incineration and co-incineration within Scotland</w:t>
      </w:r>
      <w:bookmarkEnd w:id="22"/>
    </w:p>
    <w:p w14:paraId="27BE1AAC" w14:textId="77777777" w:rsidR="001F7ADC" w:rsidRPr="00B142AB" w:rsidRDefault="001F7ADC" w:rsidP="001F7ADC">
      <w:r>
        <w:rPr>
          <w:bCs/>
          <w:lang w:eastAsia="en-GB"/>
        </w:rPr>
        <w:t>In the waste data tables, “Recovered by incineration”</w:t>
      </w:r>
      <w:r w:rsidRPr="00AD14E7">
        <w:rPr>
          <w:lang w:eastAsia="en-GB"/>
        </w:rPr>
        <w:t xml:space="preserve"> </w:t>
      </w:r>
      <w:r>
        <w:rPr>
          <w:lang w:eastAsia="en-GB"/>
        </w:rPr>
        <w:t xml:space="preserve">means that </w:t>
      </w:r>
      <w:r w:rsidRPr="00AD14E7">
        <w:rPr>
          <w:lang w:eastAsia="en-GB"/>
        </w:rPr>
        <w:t xml:space="preserve">waste </w:t>
      </w:r>
      <w:r>
        <w:rPr>
          <w:lang w:eastAsia="en-GB"/>
        </w:rPr>
        <w:t xml:space="preserve">has been </w:t>
      </w:r>
      <w:r w:rsidRPr="00AD14E7">
        <w:rPr>
          <w:lang w:eastAsia="en-GB"/>
        </w:rPr>
        <w:t>incinerated at a facility that has been accredited as meeting the energy efficiency standard of a recovery facility</w:t>
      </w:r>
      <w:r>
        <w:rPr>
          <w:lang w:eastAsia="en-GB"/>
        </w:rPr>
        <w:t xml:space="preserve"> (R1 facility) as defined in the Waste Framework Directive.  “</w:t>
      </w:r>
      <w:r w:rsidRPr="00AD14E7">
        <w:rPr>
          <w:bCs/>
          <w:lang w:eastAsia="en-GB"/>
        </w:rPr>
        <w:t xml:space="preserve">Recovered </w:t>
      </w:r>
      <w:r>
        <w:rPr>
          <w:bCs/>
          <w:lang w:eastAsia="en-GB"/>
        </w:rPr>
        <w:t>by co-incineration” means</w:t>
      </w:r>
      <w:r w:rsidRPr="00AD14E7">
        <w:rPr>
          <w:lang w:eastAsia="en-GB"/>
        </w:rPr>
        <w:t xml:space="preserve"> waste incinerated at a facility that normally generates energy from incineration of non-waste sources such as coal or gas. </w:t>
      </w:r>
      <w:r>
        <w:rPr>
          <w:lang w:eastAsia="en-GB"/>
        </w:rPr>
        <w:t xml:space="preserve"> </w:t>
      </w:r>
      <w:r w:rsidRPr="00AD14E7">
        <w:rPr>
          <w:lang w:eastAsia="en-GB"/>
        </w:rPr>
        <w:t>This may include, for example, a cement kiln that normally uses n</w:t>
      </w:r>
      <w:r>
        <w:rPr>
          <w:lang w:eastAsia="en-GB"/>
        </w:rPr>
        <w:t xml:space="preserve">atural gas as an energy source.  While there are no municipal waste incineration facilities in </w:t>
      </w:r>
      <w:r>
        <w:rPr>
          <w:lang w:eastAsia="en-GB"/>
        </w:rPr>
        <w:lastRenderedPageBreak/>
        <w:t>Scotland that are classified as R1, it is thought that the five municipal waste incinerators in Scotland likely meet the efficiency standard of the Directive but the operator has not applied for the accreditation.</w:t>
      </w:r>
      <w:r>
        <w:t xml:space="preserve">  Consequently, all waste incinerated in Scotland is either classified as waste disposed by incineration or waste recovered by co-incineration.</w:t>
      </w:r>
    </w:p>
    <w:p w14:paraId="4311FAA5" w14:textId="77777777" w:rsidR="001F7ADC" w:rsidRPr="001A38F6" w:rsidRDefault="001F7ADC" w:rsidP="001F7ADC">
      <w:pPr>
        <w:pStyle w:val="Heading2"/>
        <w:numPr>
          <w:ilvl w:val="1"/>
          <w:numId w:val="0"/>
        </w:numPr>
        <w:tabs>
          <w:tab w:val="num" w:pos="576"/>
        </w:tabs>
        <w:overflowPunct/>
        <w:autoSpaceDE/>
        <w:autoSpaceDN/>
        <w:adjustRightInd/>
        <w:spacing w:before="400" w:after="240"/>
        <w:ind w:left="576" w:hanging="576"/>
        <w:jc w:val="both"/>
        <w:textAlignment w:val="auto"/>
      </w:pPr>
      <w:bookmarkStart w:id="23" w:name="_Ref365987778"/>
      <w:bookmarkStart w:id="24" w:name="_Ref486600169"/>
      <w:bookmarkStart w:id="25" w:name="_Ref486600174"/>
      <w:bookmarkStart w:id="26" w:name="_Toc52177108"/>
      <w:r>
        <w:t>Disposal</w:t>
      </w:r>
      <w:r w:rsidRPr="001A38F6">
        <w:t xml:space="preserve"> </w:t>
      </w:r>
      <w:r>
        <w:t>by</w:t>
      </w:r>
      <w:r w:rsidRPr="001A38F6">
        <w:t xml:space="preserve"> incineration</w:t>
      </w:r>
      <w:bookmarkEnd w:id="23"/>
      <w:bookmarkEnd w:id="24"/>
      <w:bookmarkEnd w:id="25"/>
      <w:r>
        <w:t xml:space="preserve"> in Scotland</w:t>
      </w:r>
      <w:bookmarkEnd w:id="26"/>
    </w:p>
    <w:p w14:paraId="23C974B1" w14:textId="77777777" w:rsidR="001F7ADC" w:rsidRDefault="001F7ADC" w:rsidP="001F7ADC">
      <w:pPr>
        <w:rPr>
          <w:lang w:eastAsia="en-GB"/>
        </w:rPr>
      </w:pPr>
      <w:r>
        <w:rPr>
          <w:lang w:eastAsia="en-GB"/>
        </w:rPr>
        <w:t>In the waste data tables, “</w:t>
      </w:r>
      <w:r w:rsidRPr="00AD14E7">
        <w:rPr>
          <w:bCs/>
          <w:lang w:eastAsia="en-GB"/>
        </w:rPr>
        <w:t>Disposed by inc</w:t>
      </w:r>
      <w:r>
        <w:rPr>
          <w:bCs/>
          <w:lang w:eastAsia="en-GB"/>
        </w:rPr>
        <w:t>ineration” means</w:t>
      </w:r>
      <w:r w:rsidRPr="00AD14E7">
        <w:rPr>
          <w:bCs/>
          <w:lang w:eastAsia="en-GB"/>
        </w:rPr>
        <w:t xml:space="preserve"> </w:t>
      </w:r>
      <w:r w:rsidRPr="00AD14E7">
        <w:rPr>
          <w:lang w:eastAsia="en-GB"/>
        </w:rPr>
        <w:t>waste incinerated at an incineration facility that is not accredited as meeting the energy efficiency standard of a recovery facility</w:t>
      </w:r>
      <w:r>
        <w:rPr>
          <w:lang w:eastAsia="en-GB"/>
        </w:rPr>
        <w:t xml:space="preserve"> (D10 facility)</w:t>
      </w:r>
      <w:r w:rsidRPr="00AD14E7">
        <w:rPr>
          <w:lang w:eastAsia="en-GB"/>
        </w:rPr>
        <w:t>.</w:t>
      </w:r>
      <w:r>
        <w:rPr>
          <w:lang w:eastAsia="en-GB"/>
        </w:rPr>
        <w:t xml:space="preserve">  All five municipal waste incinerators in Scotland fall into this category.</w:t>
      </w:r>
    </w:p>
    <w:p w14:paraId="028E8199" w14:textId="77777777" w:rsidR="001F7ADC" w:rsidRPr="001A38F6" w:rsidRDefault="001F7ADC" w:rsidP="001F7ADC">
      <w:pPr>
        <w:pStyle w:val="Heading1"/>
        <w:pageBreakBefore/>
        <w:tabs>
          <w:tab w:val="num" w:pos="432"/>
        </w:tabs>
        <w:overflowPunct/>
        <w:autoSpaceDE/>
        <w:autoSpaceDN/>
        <w:adjustRightInd/>
        <w:spacing w:before="0" w:after="240"/>
        <w:ind w:left="431" w:hanging="431"/>
        <w:jc w:val="both"/>
        <w:textAlignment w:val="auto"/>
      </w:pPr>
      <w:bookmarkStart w:id="27" w:name="_Toc52177109"/>
      <w:bookmarkStart w:id="28" w:name="_Ref365900589"/>
      <w:bookmarkStart w:id="29" w:name="_Ref365900654"/>
      <w:bookmarkStart w:id="30" w:name="_Ref365963092"/>
      <w:bookmarkStart w:id="31" w:name="_Ref365900398"/>
      <w:r w:rsidRPr="001A38F6">
        <w:lastRenderedPageBreak/>
        <w:t>Further information</w:t>
      </w:r>
      <w:bookmarkEnd w:id="27"/>
    </w:p>
    <w:p w14:paraId="300E6F26" w14:textId="77777777" w:rsidR="001F7ADC" w:rsidRPr="001A38F6" w:rsidRDefault="001F7ADC" w:rsidP="00A72E5B">
      <w:pPr>
        <w:pStyle w:val="Heading2"/>
      </w:pPr>
      <w:bookmarkStart w:id="32" w:name="_Toc52177110"/>
      <w:bookmarkStart w:id="33" w:name="_Ref366058772"/>
      <w:r w:rsidRPr="001A38F6">
        <w:t>Contacting Us</w:t>
      </w:r>
      <w:bookmarkEnd w:id="32"/>
    </w:p>
    <w:p w14:paraId="34CAD0DC" w14:textId="77777777" w:rsidR="001F7ADC" w:rsidRDefault="001F7ADC" w:rsidP="001F7ADC">
      <w:r w:rsidRPr="00B142AB">
        <w:t xml:space="preserve">If you have any queries on the contents of this document or the accompanying waste data tables, </w:t>
      </w:r>
      <w:r>
        <w:t>please contact the Dataflows Unit by email, phone or in writing.</w:t>
      </w:r>
    </w:p>
    <w:p w14:paraId="63BB6069" w14:textId="77777777" w:rsidR="001F7ADC" w:rsidRPr="001A38F6" w:rsidRDefault="001F7ADC" w:rsidP="001F7ADC">
      <w:pPr>
        <w:pStyle w:val="Subtitle"/>
        <w:spacing w:line="360" w:lineRule="auto"/>
      </w:pPr>
      <w:r>
        <w:t>By Email</w:t>
      </w:r>
    </w:p>
    <w:p w14:paraId="266E89D7" w14:textId="77777777" w:rsidR="001F7ADC" w:rsidRDefault="00B34361" w:rsidP="001F7ADC">
      <w:hyperlink r:id="rId15" w:history="1">
        <w:r w:rsidR="001F7ADC">
          <w:rPr>
            <w:rStyle w:val="Hyperlink"/>
          </w:rPr>
          <w:t>waste.data@sepa.org.uk</w:t>
        </w:r>
      </w:hyperlink>
    </w:p>
    <w:p w14:paraId="79AAD3F2" w14:textId="77777777" w:rsidR="001F7ADC" w:rsidRDefault="001F7ADC" w:rsidP="001F7ADC">
      <w:pPr>
        <w:pBdr>
          <w:top w:val="single" w:sz="4" w:space="1" w:color="auto"/>
          <w:left w:val="single" w:sz="4" w:space="4" w:color="auto"/>
          <w:bottom w:val="single" w:sz="4" w:space="1" w:color="auto"/>
          <w:right w:val="single" w:sz="4" w:space="4" w:color="auto"/>
        </w:pBdr>
      </w:pPr>
      <w:r w:rsidRPr="00365DB9">
        <w:rPr>
          <w:color w:val="FF0000"/>
        </w:rPr>
        <w:t xml:space="preserve">Note: During the COVID 19 emergency SEPA offices have been closed.  Please refer all correspondence to the email address above.  </w:t>
      </w:r>
    </w:p>
    <w:p w14:paraId="3893AE0C" w14:textId="77777777" w:rsidR="00BC1D49" w:rsidRDefault="00BC1D49" w:rsidP="001F7ADC"/>
    <w:p w14:paraId="2991D8C3" w14:textId="151A9A07" w:rsidR="001F7ADC" w:rsidRPr="001A38F6" w:rsidRDefault="001F7ADC" w:rsidP="001F7ADC">
      <w:r w:rsidRPr="001A38F6">
        <w:t>By Phone</w:t>
      </w:r>
    </w:p>
    <w:p w14:paraId="5B356F67" w14:textId="144B4DB8" w:rsidR="001F7ADC" w:rsidRDefault="001F7ADC" w:rsidP="001F7ADC">
      <w:r>
        <w:t xml:space="preserve">Telephone </w:t>
      </w:r>
      <w:r w:rsidR="002C4E6F">
        <w:t>03000 99 66 99</w:t>
      </w:r>
    </w:p>
    <w:p w14:paraId="1C210D72" w14:textId="27BADE91" w:rsidR="001F7ADC" w:rsidRDefault="001F7ADC" w:rsidP="001F7ADC"/>
    <w:p w14:paraId="46F91D11" w14:textId="77777777" w:rsidR="00BC1D49" w:rsidRDefault="00BC1D49" w:rsidP="001F7ADC"/>
    <w:p w14:paraId="031AC196" w14:textId="77777777" w:rsidR="00A72E5B" w:rsidRDefault="00A72E5B">
      <w:pPr>
        <w:overflowPunct/>
        <w:autoSpaceDE/>
        <w:autoSpaceDN/>
        <w:adjustRightInd/>
        <w:spacing w:after="0" w:line="240" w:lineRule="auto"/>
        <w:textAlignment w:val="auto"/>
        <w:rPr>
          <w:rFonts w:eastAsiaTheme="majorEastAsia" w:cstheme="majorBidi"/>
          <w:b/>
          <w:color w:val="00526F"/>
          <w:sz w:val="32"/>
          <w:szCs w:val="32"/>
        </w:rPr>
      </w:pPr>
      <w:r>
        <w:br w:type="page"/>
      </w:r>
    </w:p>
    <w:p w14:paraId="3B0D9E97" w14:textId="3424CEB5" w:rsidR="001F7ADC" w:rsidRPr="001A38F6" w:rsidRDefault="001F7ADC" w:rsidP="001F7ADC">
      <w:pPr>
        <w:pStyle w:val="Heading1"/>
      </w:pPr>
      <w:bookmarkStart w:id="34" w:name="_Toc52177111"/>
      <w:r w:rsidRPr="001A38F6">
        <w:lastRenderedPageBreak/>
        <w:t>Appendix 1</w:t>
      </w:r>
      <w:bookmarkEnd w:id="28"/>
      <w:bookmarkEnd w:id="29"/>
      <w:bookmarkEnd w:id="30"/>
      <w:bookmarkEnd w:id="33"/>
      <w:bookmarkEnd w:id="34"/>
    </w:p>
    <w:p w14:paraId="1489C7F9" w14:textId="77777777" w:rsidR="001F7ADC" w:rsidRPr="0026075B" w:rsidRDefault="001F7ADC" w:rsidP="00EB6139">
      <w:pPr>
        <w:pStyle w:val="Heading2"/>
      </w:pPr>
      <w:bookmarkStart w:id="35" w:name="_Toc52177112"/>
      <w:r w:rsidRPr="0026075B">
        <w:t xml:space="preserve">Datasets used in the </w:t>
      </w:r>
      <w:r>
        <w:t>2019</w:t>
      </w:r>
      <w:r w:rsidRPr="0026075B">
        <w:t xml:space="preserve"> methodology</w:t>
      </w:r>
      <w:bookmarkEnd w:id="31"/>
      <w:bookmarkEnd w:id="35"/>
    </w:p>
    <w:p w14:paraId="04C94904" w14:textId="77777777" w:rsidR="001F7ADC" w:rsidRPr="00EB6139" w:rsidRDefault="001F7ADC" w:rsidP="00EB6139">
      <w:pPr>
        <w:rPr>
          <w:b/>
        </w:rPr>
      </w:pPr>
      <w:r w:rsidRPr="00EB6139">
        <w:rPr>
          <w:b/>
        </w:rPr>
        <w:t>Scottish licensed/permitted site returns</w:t>
      </w:r>
    </w:p>
    <w:p w14:paraId="3902E2B7" w14:textId="77777777" w:rsidR="001F7ADC" w:rsidRPr="00B142AB" w:rsidRDefault="001F7ADC" w:rsidP="00EB6139">
      <w:r>
        <w:t>Approximately 94</w:t>
      </w:r>
      <w:r w:rsidRPr="00B142AB">
        <w:t>0 individual licences submit quarterly returns</w:t>
      </w:r>
      <w:r>
        <w:t xml:space="preserve"> to SEPA via email or post, of which 21 sites were incineration sites</w:t>
      </w:r>
      <w:r w:rsidRPr="00B142AB">
        <w:t xml:space="preserve">. </w:t>
      </w:r>
      <w:r>
        <w:t xml:space="preserve"> </w:t>
      </w:r>
      <w:r w:rsidRPr="00B142AB">
        <w:t>A copy of the return form can be downloaded from the SEPA website</w:t>
      </w:r>
      <w:r w:rsidRPr="00B142AB">
        <w:rPr>
          <w:rStyle w:val="FootnoteReference"/>
        </w:rPr>
        <w:footnoteReference w:id="1"/>
      </w:r>
      <w:r w:rsidRPr="00B142AB">
        <w:t xml:space="preserve">. </w:t>
      </w:r>
      <w:r>
        <w:t xml:space="preserve"> </w:t>
      </w:r>
      <w:r w:rsidRPr="00B142AB">
        <w:t xml:space="preserve">The </w:t>
      </w:r>
      <w:r>
        <w:t xml:space="preserve">returns </w:t>
      </w:r>
      <w:r w:rsidRPr="00B142AB">
        <w:t>data</w:t>
      </w:r>
      <w:r>
        <w:t>set</w:t>
      </w:r>
      <w:r w:rsidRPr="00B142AB">
        <w:t xml:space="preserve"> is managed and checked by SEPA. </w:t>
      </w:r>
      <w:r>
        <w:t xml:space="preserve"> </w:t>
      </w:r>
      <w:r w:rsidRPr="00B142AB">
        <w:t>The return form consists of Table B (</w:t>
      </w:r>
      <w:r>
        <w:t xml:space="preserve">Waste </w:t>
      </w:r>
      <w:r w:rsidRPr="00B142AB">
        <w:t>inputs to site), Table C (</w:t>
      </w:r>
      <w:r>
        <w:t>W</w:t>
      </w:r>
      <w:r w:rsidRPr="00B142AB">
        <w:t>aste treated on site), Table C4 (</w:t>
      </w:r>
      <w:r>
        <w:t>W</w:t>
      </w:r>
      <w:r w:rsidRPr="00B142AB">
        <w:t xml:space="preserve">aste landfilled </w:t>
      </w:r>
      <w:r>
        <w:t>or incinerated</w:t>
      </w:r>
      <w:r w:rsidRPr="00B142AB">
        <w:t xml:space="preserve"> after treatment on-site</w:t>
      </w:r>
      <w:r>
        <w:t xml:space="preserve"> – landfill or incineration sites only</w:t>
      </w:r>
      <w:r w:rsidRPr="00B142AB">
        <w:t>) and Table D (</w:t>
      </w:r>
      <w:r>
        <w:t>Waste sent off site).</w:t>
      </w:r>
    </w:p>
    <w:p w14:paraId="3EC04C2A" w14:textId="77777777" w:rsidR="001F7ADC" w:rsidRDefault="001F7ADC" w:rsidP="00EB6139">
      <w:r w:rsidRPr="00441716">
        <w:t>SEPA carried out quality assurance of the dataset that included comparing individual site data with previous quarters/years, consistency of EWC codes with the description of waste provided by the operator and missing data.</w:t>
      </w:r>
      <w:r>
        <w:t xml:space="preserve"> </w:t>
      </w:r>
      <w:r w:rsidRPr="00441716">
        <w:t xml:space="preserve"> Submissions were collected, uploaded and checked</w:t>
      </w:r>
      <w:r>
        <w:t xml:space="preserve"> by SEPA staff with the assistance of various automation and visual tools throughout the process.</w:t>
      </w:r>
    </w:p>
    <w:p w14:paraId="0AA3CA44" w14:textId="77777777" w:rsidR="00EB6139" w:rsidRDefault="00EB6139">
      <w:pPr>
        <w:overflowPunct/>
        <w:autoSpaceDE/>
        <w:autoSpaceDN/>
        <w:adjustRightInd/>
        <w:spacing w:after="0" w:line="240" w:lineRule="auto"/>
        <w:textAlignment w:val="auto"/>
        <w:rPr>
          <w:rStyle w:val="Heading1Char"/>
          <w:rFonts w:ascii="Arial Bold" w:hAnsi="Arial Bold"/>
          <w:b w:val="0"/>
          <w:color w:val="4F81BD"/>
        </w:rPr>
      </w:pPr>
      <w:bookmarkStart w:id="36" w:name="_Ref366048411"/>
      <w:bookmarkStart w:id="37" w:name="_Ref366051481"/>
      <w:r>
        <w:rPr>
          <w:rStyle w:val="Heading1Char"/>
          <w:rFonts w:ascii="Arial Bold" w:hAnsi="Arial Bold"/>
          <w:color w:val="4F81BD"/>
        </w:rPr>
        <w:br w:type="page"/>
      </w:r>
    </w:p>
    <w:p w14:paraId="7236BE3F" w14:textId="2159BC91" w:rsidR="001F7ADC" w:rsidRPr="00A51B85" w:rsidRDefault="001F7ADC" w:rsidP="001F7ADC">
      <w:pPr>
        <w:pStyle w:val="Heading1"/>
      </w:pPr>
      <w:bookmarkStart w:id="38" w:name="_Toc52177113"/>
      <w:r w:rsidRPr="00A014B8">
        <w:rPr>
          <w:rStyle w:val="Heading1Char"/>
          <w:rFonts w:ascii="Arial Bold" w:hAnsi="Arial Bold"/>
          <w:color w:val="4F81BD"/>
        </w:rPr>
        <w:lastRenderedPageBreak/>
        <w:t>Appendix 2</w:t>
      </w:r>
      <w:bookmarkEnd w:id="20"/>
      <w:bookmarkEnd w:id="36"/>
      <w:bookmarkEnd w:id="37"/>
      <w:bookmarkEnd w:id="38"/>
    </w:p>
    <w:p w14:paraId="392D72AB" w14:textId="77777777" w:rsidR="001F7ADC" w:rsidRPr="00A51B85" w:rsidRDefault="001F7ADC" w:rsidP="00EB6139">
      <w:pPr>
        <w:pStyle w:val="Heading2"/>
      </w:pPr>
      <w:bookmarkStart w:id="39" w:name="_Toc52177114"/>
      <w:r w:rsidRPr="00A51B85">
        <w:t>European Waste Catalogue</w:t>
      </w:r>
      <w:bookmarkEnd w:id="39"/>
    </w:p>
    <w:p w14:paraId="1F94E6A9" w14:textId="77777777" w:rsidR="001F7ADC" w:rsidRPr="00B142AB" w:rsidRDefault="001F7ADC" w:rsidP="001F7ADC">
      <w:pPr>
        <w:rPr>
          <w:lang w:val="en"/>
        </w:rPr>
      </w:pPr>
      <w:r w:rsidRPr="00B142AB">
        <w:rPr>
          <w:lang w:val="en"/>
        </w:rPr>
        <w:t>Throughout this document reference is made to both</w:t>
      </w:r>
      <w:r w:rsidRPr="00B142AB">
        <w:t xml:space="preserve"> the </w:t>
      </w:r>
      <w:r w:rsidRPr="00B142AB">
        <w:rPr>
          <w:lang w:val="en"/>
        </w:rPr>
        <w:t xml:space="preserve">European Waste Catalogue (EWC) list of wastes and European Waste Catalogue for Statistics (EWC-STAT). A brief explanation of each is given below, along with links to further information. </w:t>
      </w:r>
    </w:p>
    <w:p w14:paraId="2E61A162" w14:textId="77777777" w:rsidR="001F7ADC" w:rsidRPr="00F03863" w:rsidRDefault="001F7ADC" w:rsidP="00EB6139">
      <w:pPr>
        <w:pStyle w:val="Heading2"/>
      </w:pPr>
      <w:bookmarkStart w:id="40" w:name="_Toc52177115"/>
      <w:r w:rsidRPr="00F03863">
        <w:t>European Waste Catalogue List of Waste (EWC 2000)</w:t>
      </w:r>
      <w:bookmarkEnd w:id="40"/>
    </w:p>
    <w:p w14:paraId="72790B15" w14:textId="77777777" w:rsidR="001F7ADC" w:rsidRDefault="001F7ADC" w:rsidP="001F7ADC">
      <w:pPr>
        <w:rPr>
          <w:lang w:val="en"/>
        </w:rPr>
      </w:pPr>
      <w:r>
        <w:rPr>
          <w:lang w:val="en"/>
        </w:rPr>
        <w:t>The EWC 2000</w:t>
      </w:r>
      <w:r w:rsidRPr="00B142AB">
        <w:rPr>
          <w:lang w:val="en"/>
        </w:rPr>
        <w:t xml:space="preserve"> is a harmonised, non-exhaustive list of waste types established by the Euro</w:t>
      </w:r>
      <w:r>
        <w:rPr>
          <w:lang w:val="en"/>
        </w:rPr>
        <w:t xml:space="preserve">pean Commission (2000/532/EC). </w:t>
      </w:r>
      <w:r w:rsidRPr="00B142AB">
        <w:rPr>
          <w:lang w:val="en"/>
        </w:rPr>
        <w:t>The list is used to categorise waste based on a combination of what they are, and the process or activity that produces them.</w:t>
      </w:r>
    </w:p>
    <w:p w14:paraId="28AB26B5" w14:textId="77777777" w:rsidR="001F7ADC" w:rsidRPr="00B142AB" w:rsidRDefault="001F7ADC" w:rsidP="001F7ADC">
      <w:pPr>
        <w:rPr>
          <w:lang w:val="en"/>
        </w:rPr>
      </w:pPr>
      <w:r>
        <w:rPr>
          <w:lang w:val="en"/>
        </w:rPr>
        <w:t>The full EWC 2000</w:t>
      </w:r>
      <w:r w:rsidRPr="00B142AB">
        <w:rPr>
          <w:lang w:val="en"/>
        </w:rPr>
        <w:t xml:space="preserve"> list and further information is available here:</w:t>
      </w:r>
    </w:p>
    <w:p w14:paraId="48F8ADD1" w14:textId="77777777" w:rsidR="001F7ADC" w:rsidRPr="004C0F2C" w:rsidRDefault="001F7ADC" w:rsidP="001F7ADC">
      <w:pPr>
        <w:rPr>
          <w:rStyle w:val="Hyperlink"/>
        </w:rPr>
      </w:pPr>
      <w:r w:rsidRPr="004C0F2C">
        <w:rPr>
          <w:rStyle w:val="Hyperlink"/>
        </w:rPr>
        <w:fldChar w:fldCharType="begin"/>
      </w:r>
      <w:r w:rsidRPr="004C0F2C">
        <w:rPr>
          <w:rStyle w:val="Hyperlink"/>
        </w:rPr>
        <w:instrText xml:space="preserve"> HYPERLINK "http://eur-lex.europa.eu/LexUriServ/LexUriServ.do?uri=CONSLEG:2000D0532:20020101:EN:PDF" </w:instrText>
      </w:r>
      <w:r w:rsidRPr="004C0F2C">
        <w:rPr>
          <w:rStyle w:val="Hyperlink"/>
        </w:rPr>
        <w:fldChar w:fldCharType="separate"/>
      </w:r>
      <w:r w:rsidRPr="004C0F2C">
        <w:rPr>
          <w:rStyle w:val="Hyperlink"/>
        </w:rPr>
        <w:t>http://eur-lex.europa.eu/LexUriServ/LexUriServ.do?uri=CONSLEG:2000D0532:20020101:EN:PDF</w:t>
      </w:r>
    </w:p>
    <w:p w14:paraId="07311062" w14:textId="77777777" w:rsidR="001F7ADC" w:rsidRDefault="001F7ADC" w:rsidP="001F7ADC">
      <w:pPr>
        <w:rPr>
          <w:lang w:val="en"/>
        </w:rPr>
      </w:pPr>
      <w:r w:rsidRPr="004C0F2C">
        <w:rPr>
          <w:rStyle w:val="Hyperlink"/>
        </w:rPr>
        <w:fldChar w:fldCharType="end"/>
      </w:r>
      <w:r w:rsidRPr="00B142AB">
        <w:rPr>
          <w:lang w:val="en"/>
        </w:rPr>
        <w:t>The list is divided into 20 chapters, most of which are industry-based, although some are based on materials and processes. Each chapter is represented by a two-digit code between 01 and 20 and comprises one or more subchapters. Individual waste types are detailed in the subchapters and are assigned a six-digit code that comprises two digits for the chapter, two for the subchapter and two specific to the waste type.</w:t>
      </w:r>
    </w:p>
    <w:p w14:paraId="004E30D5" w14:textId="77777777" w:rsidR="001F7ADC" w:rsidRDefault="001F7ADC" w:rsidP="001F7ADC">
      <w:pPr>
        <w:rPr>
          <w:lang w:val="en"/>
        </w:rPr>
      </w:pPr>
      <w:r w:rsidRPr="00B142AB">
        <w:rPr>
          <w:lang w:val="en"/>
        </w:rPr>
        <w:t>Hazardous wastes are signified by entries where the EWC code is marked by an asterisk (*).</w:t>
      </w:r>
    </w:p>
    <w:p w14:paraId="52B41BD1" w14:textId="77777777" w:rsidR="001F7ADC" w:rsidRDefault="001F7ADC" w:rsidP="001F7ADC">
      <w:pPr>
        <w:rPr>
          <w:lang w:val="en"/>
        </w:rPr>
      </w:pPr>
      <w:r>
        <w:rPr>
          <w:lang w:val="en"/>
        </w:rPr>
        <w:t>The use of EWC</w:t>
      </w:r>
      <w:r w:rsidRPr="00B142AB">
        <w:rPr>
          <w:lang w:val="en"/>
        </w:rPr>
        <w:t xml:space="preserve"> codes to describe waste on waste transfer notes in Scotland has be</w:t>
      </w:r>
      <w:r>
        <w:rPr>
          <w:lang w:val="en"/>
        </w:rPr>
        <w:t xml:space="preserve">en statutory since April 2004. </w:t>
      </w:r>
      <w:r w:rsidRPr="00B142AB">
        <w:rPr>
          <w:lang w:val="en"/>
        </w:rPr>
        <w:t>The majority of statutory waste data returns received by SEPA, including licensed/permitted site returns, exempt activity returns and special waste consignment notes require waste to be clas</w:t>
      </w:r>
      <w:r>
        <w:rPr>
          <w:lang w:val="en"/>
        </w:rPr>
        <w:t>sified according to the EWC 2000</w:t>
      </w:r>
      <w:r w:rsidRPr="00B142AB">
        <w:rPr>
          <w:lang w:val="en"/>
        </w:rPr>
        <w:t>.</w:t>
      </w:r>
    </w:p>
    <w:p w14:paraId="629C02DB" w14:textId="77777777" w:rsidR="001F7ADC" w:rsidRPr="00A51B85" w:rsidRDefault="001F7ADC" w:rsidP="00EB6139">
      <w:pPr>
        <w:pStyle w:val="Heading2"/>
      </w:pPr>
      <w:bookmarkStart w:id="41" w:name="_Toc52177116"/>
      <w:r w:rsidRPr="00A51B85">
        <w:t>European Waste Catalogue for Statistics (EWC-STAT)</w:t>
      </w:r>
      <w:bookmarkEnd w:id="41"/>
    </w:p>
    <w:p w14:paraId="1626834C" w14:textId="77777777" w:rsidR="001F7ADC" w:rsidRPr="004C0F2C" w:rsidRDefault="001F7ADC" w:rsidP="001F7ADC">
      <w:pPr>
        <w:rPr>
          <w:lang w:val="en"/>
        </w:rPr>
      </w:pPr>
      <w:r w:rsidRPr="004C0F2C">
        <w:rPr>
          <w:lang w:val="en"/>
        </w:rPr>
        <w:t>The EWC-Stat is a (mainly) substance-oriented statistical classification of waste established by the European Commission (2004/574/EC). The EWC-STAT contains 13 categories, each represented by a two</w:t>
      </w:r>
      <w:r>
        <w:rPr>
          <w:lang w:val="en"/>
        </w:rPr>
        <w:t xml:space="preserve">-digit code between 01 and 13. </w:t>
      </w:r>
      <w:r w:rsidRPr="004C0F2C">
        <w:rPr>
          <w:lang w:val="en"/>
        </w:rPr>
        <w:t>These are subdivided into individual waste types.</w:t>
      </w:r>
    </w:p>
    <w:p w14:paraId="5E87B820" w14:textId="77777777" w:rsidR="001F7ADC" w:rsidRPr="004C0F2C" w:rsidRDefault="001F7ADC" w:rsidP="001F7ADC">
      <w:pPr>
        <w:rPr>
          <w:lang w:val="en"/>
        </w:rPr>
      </w:pPr>
      <w:r w:rsidRPr="004C0F2C">
        <w:rPr>
          <w:lang w:val="en"/>
        </w:rPr>
        <w:lastRenderedPageBreak/>
        <w:t>A table of equivalence allows wastes coded in the EWC 2002 to b</w:t>
      </w:r>
      <w:r>
        <w:rPr>
          <w:lang w:val="en"/>
        </w:rPr>
        <w:t xml:space="preserve">e converted into the EWC-Stat. </w:t>
      </w:r>
      <w:r w:rsidRPr="004C0F2C">
        <w:rPr>
          <w:lang w:val="en"/>
        </w:rPr>
        <w:t>However, because of the way the coding system operates, it is not possible to do the reverse conversion. The table of equivalence and further information is available here:</w:t>
      </w:r>
    </w:p>
    <w:p w14:paraId="17AF8256" w14:textId="77777777" w:rsidR="001F7ADC" w:rsidRPr="00B142AB" w:rsidRDefault="00B34361" w:rsidP="001F7ADC">
      <w:hyperlink r:id="rId16" w:history="1">
        <w:r w:rsidR="001F7ADC" w:rsidRPr="001208F4">
          <w:rPr>
            <w:rStyle w:val="Hyperlink"/>
          </w:rPr>
          <w:t>http://eur-lex.europa.eu/LexUriServ/LexUriServ.do?uri=OJ:L:2010:253:0002:0041:EN:PDF</w:t>
        </w:r>
      </w:hyperlink>
    </w:p>
    <w:p w14:paraId="44B91478" w14:textId="77777777" w:rsidR="00EB6139" w:rsidRDefault="00EB6139">
      <w:pPr>
        <w:overflowPunct/>
        <w:autoSpaceDE/>
        <w:autoSpaceDN/>
        <w:adjustRightInd/>
        <w:spacing w:after="0" w:line="240" w:lineRule="auto"/>
        <w:textAlignment w:val="auto"/>
        <w:rPr>
          <w:rFonts w:eastAsiaTheme="majorEastAsia" w:cstheme="majorBidi"/>
          <w:b/>
          <w:color w:val="00526F"/>
          <w:sz w:val="32"/>
          <w:szCs w:val="32"/>
        </w:rPr>
      </w:pPr>
      <w:bookmarkStart w:id="42" w:name="_Ref425947113"/>
      <w:r>
        <w:br w:type="page"/>
      </w:r>
    </w:p>
    <w:p w14:paraId="4327E77F" w14:textId="186A6533" w:rsidR="001F7ADC" w:rsidRPr="00A51B85" w:rsidRDefault="001F7ADC" w:rsidP="001F7ADC">
      <w:pPr>
        <w:pStyle w:val="Heading1"/>
      </w:pPr>
      <w:bookmarkStart w:id="43" w:name="_Toc52177117"/>
      <w:r w:rsidRPr="00A51B85">
        <w:lastRenderedPageBreak/>
        <w:t xml:space="preserve">Appendix </w:t>
      </w:r>
      <w:bookmarkEnd w:id="42"/>
      <w:r>
        <w:t>3</w:t>
      </w:r>
      <w:bookmarkEnd w:id="43"/>
      <w:r w:rsidRPr="00A51B85">
        <w:t xml:space="preserve"> </w:t>
      </w:r>
    </w:p>
    <w:p w14:paraId="6CE8CD33" w14:textId="77777777" w:rsidR="001F7ADC" w:rsidRPr="00A51B85" w:rsidRDefault="001F7ADC" w:rsidP="00EB6139">
      <w:pPr>
        <w:pStyle w:val="Heading2"/>
      </w:pPr>
      <w:bookmarkStart w:id="44" w:name="_Toc52177118"/>
      <w:r w:rsidRPr="00A51B85">
        <w:t>Glossary</w:t>
      </w:r>
      <w:bookmarkEnd w:id="44"/>
      <w:r w:rsidRPr="00A51B85">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6673"/>
      </w:tblGrid>
      <w:tr w:rsidR="001F7ADC" w:rsidRPr="00675348" w14:paraId="0AD25CF7" w14:textId="77777777" w:rsidTr="001F7ADC">
        <w:trPr>
          <w:jc w:val="center"/>
        </w:trPr>
        <w:tc>
          <w:tcPr>
            <w:tcW w:w="1809" w:type="pct"/>
            <w:shd w:val="clear" w:color="auto" w:fill="auto"/>
          </w:tcPr>
          <w:p w14:paraId="3A15041B" w14:textId="77777777" w:rsidR="001F7ADC" w:rsidRPr="00675348" w:rsidRDefault="001F7ADC" w:rsidP="001F7ADC">
            <w:pPr>
              <w:spacing w:after="60"/>
              <w:rPr>
                <w:b/>
                <w:szCs w:val="24"/>
              </w:rPr>
            </w:pPr>
            <w:r>
              <w:t>EWC Code</w:t>
            </w:r>
          </w:p>
        </w:tc>
        <w:tc>
          <w:tcPr>
            <w:tcW w:w="3191" w:type="pct"/>
            <w:shd w:val="clear" w:color="auto" w:fill="auto"/>
          </w:tcPr>
          <w:p w14:paraId="534B4CE9" w14:textId="77777777" w:rsidR="001F7ADC" w:rsidRPr="00675348" w:rsidRDefault="001F7ADC" w:rsidP="001F7ADC">
            <w:pPr>
              <w:spacing w:after="60"/>
            </w:pPr>
            <w:r>
              <w:t>European Waste Catalogue code</w:t>
            </w:r>
          </w:p>
        </w:tc>
      </w:tr>
      <w:tr w:rsidR="001F7ADC" w:rsidRPr="00675348" w14:paraId="22DB447E" w14:textId="77777777" w:rsidTr="001F7ADC">
        <w:trPr>
          <w:jc w:val="center"/>
        </w:trPr>
        <w:tc>
          <w:tcPr>
            <w:tcW w:w="1809" w:type="pct"/>
            <w:shd w:val="clear" w:color="auto" w:fill="auto"/>
          </w:tcPr>
          <w:p w14:paraId="43452CCC" w14:textId="77777777" w:rsidR="001F7ADC" w:rsidRPr="00675348" w:rsidRDefault="001F7ADC" w:rsidP="001F7ADC">
            <w:pPr>
              <w:spacing w:after="60"/>
              <w:rPr>
                <w:b/>
                <w:szCs w:val="24"/>
              </w:rPr>
            </w:pPr>
            <w:r>
              <w:t>Hazardous Waste</w:t>
            </w:r>
          </w:p>
        </w:tc>
        <w:tc>
          <w:tcPr>
            <w:tcW w:w="3191" w:type="pct"/>
            <w:shd w:val="clear" w:color="auto" w:fill="auto"/>
          </w:tcPr>
          <w:p w14:paraId="4FD4695F" w14:textId="77777777" w:rsidR="001F7ADC" w:rsidRPr="00675348" w:rsidRDefault="001F7ADC" w:rsidP="001F7ADC">
            <w:pPr>
              <w:spacing w:after="60"/>
            </w:pPr>
            <w:r>
              <w:t>Waste with hazardous properties which may render it harmful to human health or the environment.  Hazardous waste is also called Special Waste in Scotland, as defined in the Special Waste Regulations 1996 (and amendments).</w:t>
            </w:r>
          </w:p>
        </w:tc>
      </w:tr>
      <w:tr w:rsidR="001F7ADC" w:rsidRPr="00675348" w14:paraId="005FED1A" w14:textId="77777777" w:rsidTr="001F7ADC">
        <w:trPr>
          <w:jc w:val="center"/>
        </w:trPr>
        <w:tc>
          <w:tcPr>
            <w:tcW w:w="1809" w:type="pct"/>
            <w:shd w:val="clear" w:color="auto" w:fill="auto"/>
          </w:tcPr>
          <w:p w14:paraId="50DF6D97" w14:textId="77777777" w:rsidR="001F7ADC" w:rsidRPr="00675348" w:rsidRDefault="001F7ADC" w:rsidP="001F7ADC">
            <w:pPr>
              <w:spacing w:after="60"/>
            </w:pPr>
            <w:r>
              <w:t>WFAS</w:t>
            </w:r>
          </w:p>
        </w:tc>
        <w:tc>
          <w:tcPr>
            <w:tcW w:w="3191" w:type="pct"/>
            <w:shd w:val="clear" w:color="auto" w:fill="auto"/>
          </w:tcPr>
          <w:p w14:paraId="267C0F33" w14:textId="77777777" w:rsidR="001F7ADC" w:rsidRPr="00675348" w:rsidRDefault="001F7ADC" w:rsidP="001F7ADC">
            <w:pPr>
              <w:spacing w:after="60"/>
            </w:pPr>
            <w:r>
              <w:t>Waste from all sources.  This includes commercial and industrial sources, construction and demolition sources as well as from household sources.</w:t>
            </w:r>
          </w:p>
        </w:tc>
      </w:tr>
      <w:tr w:rsidR="001F7ADC" w:rsidRPr="00675348" w14:paraId="691A9543" w14:textId="77777777" w:rsidTr="001F7ADC">
        <w:trPr>
          <w:jc w:val="center"/>
        </w:trPr>
        <w:tc>
          <w:tcPr>
            <w:tcW w:w="1809" w:type="pct"/>
            <w:shd w:val="clear" w:color="auto" w:fill="auto"/>
          </w:tcPr>
          <w:p w14:paraId="7B179C30" w14:textId="77777777" w:rsidR="001F7ADC" w:rsidRPr="00675348" w:rsidRDefault="001F7ADC" w:rsidP="001F7ADC">
            <w:pPr>
              <w:spacing w:after="60"/>
            </w:pPr>
            <w:r>
              <w:t xml:space="preserve">Waste incinerated by co-incineration </w:t>
            </w:r>
          </w:p>
        </w:tc>
        <w:tc>
          <w:tcPr>
            <w:tcW w:w="3191" w:type="pct"/>
            <w:shd w:val="clear" w:color="auto" w:fill="auto"/>
          </w:tcPr>
          <w:p w14:paraId="53CFE1E9" w14:textId="77777777" w:rsidR="001F7ADC" w:rsidRPr="00675348" w:rsidRDefault="001F7ADC" w:rsidP="001F7ADC">
            <w:pPr>
              <w:spacing w:after="60"/>
            </w:pPr>
            <w:r>
              <w:t>Wastes used primarily as a fuel and incinerated at an incineration facility in which the main purpose is the generation of energy or production of material products (e.g. cement), and which uses waste as an additional fuel.</w:t>
            </w:r>
          </w:p>
        </w:tc>
      </w:tr>
      <w:tr w:rsidR="001F7ADC" w:rsidRPr="00675348" w14:paraId="08C1588E" w14:textId="77777777" w:rsidTr="001F7ADC">
        <w:trPr>
          <w:jc w:val="center"/>
        </w:trPr>
        <w:tc>
          <w:tcPr>
            <w:tcW w:w="1809" w:type="pct"/>
            <w:shd w:val="clear" w:color="auto" w:fill="auto"/>
          </w:tcPr>
          <w:p w14:paraId="3BDD2194" w14:textId="77777777" w:rsidR="001F7ADC" w:rsidRPr="00675348" w:rsidRDefault="001F7ADC" w:rsidP="001F7ADC">
            <w:pPr>
              <w:spacing w:after="60"/>
            </w:pPr>
            <w:r>
              <w:t>Waste incinerated by disposal</w:t>
            </w:r>
          </w:p>
        </w:tc>
        <w:tc>
          <w:tcPr>
            <w:tcW w:w="3191" w:type="pct"/>
            <w:shd w:val="clear" w:color="auto" w:fill="auto"/>
          </w:tcPr>
          <w:p w14:paraId="2D5DF65F" w14:textId="77777777" w:rsidR="001F7ADC" w:rsidRPr="00675348" w:rsidRDefault="001F7ADC" w:rsidP="001F7ADC">
            <w:pPr>
              <w:spacing w:after="60"/>
            </w:pPr>
            <w:r>
              <w:t>Wastes incinerated at an incineration facility where the energy efficiency has not been demonstrated to meet the R1 criteria specified in the EU Waste Framework Directive (Directive 2008/98/EC).</w:t>
            </w:r>
          </w:p>
        </w:tc>
      </w:tr>
      <w:tr w:rsidR="001F7ADC" w:rsidRPr="00675348" w14:paraId="7B709647" w14:textId="77777777" w:rsidTr="001F7ADC">
        <w:trPr>
          <w:jc w:val="center"/>
        </w:trPr>
        <w:tc>
          <w:tcPr>
            <w:tcW w:w="1809" w:type="pct"/>
            <w:shd w:val="clear" w:color="auto" w:fill="auto"/>
          </w:tcPr>
          <w:p w14:paraId="7C6F0258" w14:textId="77777777" w:rsidR="001F7ADC" w:rsidRPr="00675348" w:rsidRDefault="001F7ADC" w:rsidP="001F7ADC">
            <w:pPr>
              <w:spacing w:after="60"/>
            </w:pPr>
            <w:r>
              <w:t>Waste incinerated by recovery</w:t>
            </w:r>
          </w:p>
        </w:tc>
        <w:tc>
          <w:tcPr>
            <w:tcW w:w="3191" w:type="pct"/>
            <w:shd w:val="clear" w:color="auto" w:fill="auto"/>
          </w:tcPr>
          <w:p w14:paraId="49B9E41A" w14:textId="77777777" w:rsidR="001F7ADC" w:rsidRPr="00675348" w:rsidRDefault="001F7ADC" w:rsidP="001F7ADC">
            <w:pPr>
              <w:spacing w:after="60"/>
            </w:pPr>
            <w:r>
              <w:t>Wastes used principally as a fuel to generate energy and incinerated at an incineration facility where the energy efficiency has been demonstrated to meet the R1 energy efficiency criteria specified in the EU Waste Framework Directive (Directive 2008/98/EC).</w:t>
            </w:r>
          </w:p>
        </w:tc>
      </w:tr>
      <w:tr w:rsidR="001F7ADC" w:rsidRPr="00675348" w14:paraId="078E6BE2" w14:textId="77777777" w:rsidTr="001F7ADC">
        <w:trPr>
          <w:jc w:val="center"/>
        </w:trPr>
        <w:tc>
          <w:tcPr>
            <w:tcW w:w="1809" w:type="pct"/>
            <w:shd w:val="clear" w:color="auto" w:fill="auto"/>
          </w:tcPr>
          <w:p w14:paraId="29422405" w14:textId="77777777" w:rsidR="001F7ADC" w:rsidRPr="00675348" w:rsidRDefault="001F7ADC" w:rsidP="001F7ADC">
            <w:pPr>
              <w:spacing w:after="60"/>
            </w:pPr>
            <w:r>
              <w:t>Waste recovered by incineration</w:t>
            </w:r>
          </w:p>
        </w:tc>
        <w:tc>
          <w:tcPr>
            <w:tcW w:w="3191" w:type="pct"/>
            <w:shd w:val="clear" w:color="auto" w:fill="auto"/>
          </w:tcPr>
          <w:p w14:paraId="696CA1F7" w14:textId="77777777" w:rsidR="001F7ADC" w:rsidRPr="00675348" w:rsidRDefault="001F7ADC" w:rsidP="001F7ADC">
            <w:pPr>
              <w:spacing w:after="60"/>
            </w:pPr>
            <w:r>
              <w:t>Wastes incinerated by co-incineration and waste incinerated by recovery.</w:t>
            </w:r>
          </w:p>
        </w:tc>
      </w:tr>
      <w:tr w:rsidR="001F7ADC" w:rsidRPr="00675348" w14:paraId="2AE96F4B" w14:textId="77777777" w:rsidTr="001F7ADC">
        <w:trPr>
          <w:jc w:val="center"/>
        </w:trPr>
        <w:tc>
          <w:tcPr>
            <w:tcW w:w="1809" w:type="pct"/>
            <w:shd w:val="clear" w:color="auto" w:fill="auto"/>
          </w:tcPr>
          <w:p w14:paraId="7DCD66D5" w14:textId="77777777" w:rsidR="001F7ADC" w:rsidRDefault="001F7ADC" w:rsidP="001F7ADC">
            <w:pPr>
              <w:spacing w:after="60"/>
            </w:pPr>
            <w:r>
              <w:t>Waste incinerated</w:t>
            </w:r>
          </w:p>
        </w:tc>
        <w:tc>
          <w:tcPr>
            <w:tcW w:w="3191" w:type="pct"/>
            <w:shd w:val="clear" w:color="auto" w:fill="auto"/>
          </w:tcPr>
          <w:p w14:paraId="4BEF0040" w14:textId="77777777" w:rsidR="001F7ADC" w:rsidRDefault="001F7ADC" w:rsidP="001F7ADC">
            <w:pPr>
              <w:spacing w:after="60"/>
            </w:pPr>
            <w:r>
              <w:t>WFAS that is incinerated in Scotland including waste incineration by disposal and waste incineration by recovery.</w:t>
            </w:r>
          </w:p>
        </w:tc>
      </w:tr>
    </w:tbl>
    <w:p w14:paraId="585F5421" w14:textId="77777777" w:rsidR="001F7ADC" w:rsidRPr="00246C3B" w:rsidRDefault="001F7ADC" w:rsidP="001F7ADC"/>
    <w:p w14:paraId="5C2B658E" w14:textId="77777777" w:rsidR="001F7ADC" w:rsidRPr="00D62451" w:rsidRDefault="001F7ADC" w:rsidP="001F7ADC"/>
    <w:p w14:paraId="07E3E430" w14:textId="77777777" w:rsidR="001F7ADC" w:rsidRPr="00A51B85" w:rsidRDefault="001F7ADC" w:rsidP="001F7ADC">
      <w:pPr>
        <w:pStyle w:val="Heading1"/>
      </w:pPr>
      <w:bookmarkStart w:id="45" w:name="_Ref425947121"/>
      <w:bookmarkStart w:id="46" w:name="_Toc52177119"/>
      <w:r w:rsidRPr="00A51B85">
        <w:lastRenderedPageBreak/>
        <w:t xml:space="preserve">Appendix </w:t>
      </w:r>
      <w:bookmarkEnd w:id="45"/>
      <w:r>
        <w:t>4</w:t>
      </w:r>
      <w:bookmarkEnd w:id="46"/>
      <w:r w:rsidRPr="00A51B85">
        <w:t xml:space="preserve"> </w:t>
      </w:r>
    </w:p>
    <w:p w14:paraId="4CB5B29E" w14:textId="77777777" w:rsidR="001F7ADC" w:rsidRPr="00A51B85" w:rsidRDefault="001F7ADC" w:rsidP="00EB6139">
      <w:pPr>
        <w:pStyle w:val="Heading2"/>
      </w:pPr>
      <w:bookmarkStart w:id="47" w:name="_Toc52177120"/>
      <w:r w:rsidRPr="00A51B85">
        <w:t>Acronyms</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6942"/>
      </w:tblGrid>
      <w:tr w:rsidR="001F7ADC" w:rsidRPr="00675348" w14:paraId="1A045737" w14:textId="77777777" w:rsidTr="00EB6139">
        <w:trPr>
          <w:jc w:val="center"/>
        </w:trPr>
        <w:tc>
          <w:tcPr>
            <w:tcW w:w="2499" w:type="dxa"/>
            <w:shd w:val="clear" w:color="auto" w:fill="auto"/>
          </w:tcPr>
          <w:p w14:paraId="7192458A" w14:textId="77777777" w:rsidR="001F7ADC" w:rsidRPr="00675348" w:rsidRDefault="001F7ADC" w:rsidP="001F7ADC">
            <w:pPr>
              <w:spacing w:beforeLines="60" w:before="144" w:afterLines="60" w:after="144"/>
            </w:pPr>
            <w:r w:rsidRPr="00675348">
              <w:t>C&amp;D</w:t>
            </w:r>
          </w:p>
        </w:tc>
        <w:tc>
          <w:tcPr>
            <w:tcW w:w="6942" w:type="dxa"/>
            <w:shd w:val="clear" w:color="auto" w:fill="auto"/>
          </w:tcPr>
          <w:p w14:paraId="1382BFCA" w14:textId="77777777" w:rsidR="001F7ADC" w:rsidRPr="00675348" w:rsidRDefault="001F7ADC" w:rsidP="001F7ADC">
            <w:pPr>
              <w:spacing w:beforeLines="60" w:before="144" w:afterLines="60" w:after="144"/>
            </w:pPr>
            <w:r w:rsidRPr="00675348">
              <w:t>Construction and Demolition</w:t>
            </w:r>
          </w:p>
        </w:tc>
      </w:tr>
      <w:tr w:rsidR="001F7ADC" w:rsidRPr="00675348" w14:paraId="79DF7A53" w14:textId="77777777" w:rsidTr="00EB6139">
        <w:trPr>
          <w:jc w:val="center"/>
        </w:trPr>
        <w:tc>
          <w:tcPr>
            <w:tcW w:w="2499" w:type="dxa"/>
            <w:shd w:val="clear" w:color="auto" w:fill="auto"/>
          </w:tcPr>
          <w:p w14:paraId="3392A09D" w14:textId="77777777" w:rsidR="001F7ADC" w:rsidRPr="00675348" w:rsidRDefault="001F7ADC" w:rsidP="001F7ADC">
            <w:pPr>
              <w:spacing w:beforeLines="60" w:before="144" w:afterLines="60" w:after="144"/>
            </w:pPr>
            <w:r w:rsidRPr="00675348">
              <w:t>C&amp;I</w:t>
            </w:r>
          </w:p>
        </w:tc>
        <w:tc>
          <w:tcPr>
            <w:tcW w:w="6942" w:type="dxa"/>
            <w:shd w:val="clear" w:color="auto" w:fill="auto"/>
          </w:tcPr>
          <w:p w14:paraId="1B287364" w14:textId="77777777" w:rsidR="001F7ADC" w:rsidRPr="00675348" w:rsidRDefault="001F7ADC" w:rsidP="001F7ADC">
            <w:pPr>
              <w:spacing w:beforeLines="60" w:before="144" w:afterLines="60" w:after="144"/>
            </w:pPr>
            <w:r w:rsidRPr="00675348">
              <w:t>Commercial and Industrial</w:t>
            </w:r>
          </w:p>
        </w:tc>
      </w:tr>
      <w:tr w:rsidR="001F7ADC" w:rsidRPr="00675348" w14:paraId="7B2B1705" w14:textId="77777777" w:rsidTr="00EB6139">
        <w:trPr>
          <w:jc w:val="center"/>
        </w:trPr>
        <w:tc>
          <w:tcPr>
            <w:tcW w:w="2499" w:type="dxa"/>
            <w:shd w:val="clear" w:color="auto" w:fill="auto"/>
          </w:tcPr>
          <w:p w14:paraId="0D64A86F" w14:textId="77777777" w:rsidR="001F7ADC" w:rsidRPr="00675348" w:rsidRDefault="001F7ADC" w:rsidP="001F7ADC">
            <w:pPr>
              <w:spacing w:beforeLines="60" w:before="144" w:afterLines="60" w:after="144"/>
            </w:pPr>
            <w:r w:rsidRPr="00675348">
              <w:t>EWC</w:t>
            </w:r>
          </w:p>
        </w:tc>
        <w:tc>
          <w:tcPr>
            <w:tcW w:w="6942" w:type="dxa"/>
            <w:shd w:val="clear" w:color="auto" w:fill="auto"/>
          </w:tcPr>
          <w:p w14:paraId="699E5B8D" w14:textId="77777777" w:rsidR="001F7ADC" w:rsidRPr="00675348" w:rsidRDefault="001F7ADC" w:rsidP="001F7ADC">
            <w:pPr>
              <w:spacing w:beforeLines="60" w:before="144" w:afterLines="60" w:after="144"/>
            </w:pPr>
            <w:r w:rsidRPr="00675348">
              <w:t>European Waste Catalogue</w:t>
            </w:r>
          </w:p>
        </w:tc>
      </w:tr>
      <w:tr w:rsidR="001F7ADC" w:rsidRPr="00675348" w14:paraId="23A600DD" w14:textId="77777777" w:rsidTr="00EB6139">
        <w:trPr>
          <w:jc w:val="center"/>
        </w:trPr>
        <w:tc>
          <w:tcPr>
            <w:tcW w:w="2499" w:type="dxa"/>
            <w:shd w:val="clear" w:color="auto" w:fill="auto"/>
          </w:tcPr>
          <w:p w14:paraId="3F1F231D" w14:textId="77777777" w:rsidR="001F7ADC" w:rsidRPr="00675348" w:rsidRDefault="001F7ADC" w:rsidP="001F7ADC">
            <w:pPr>
              <w:spacing w:beforeLines="60" w:before="144" w:afterLines="60" w:after="144"/>
            </w:pPr>
            <w:r w:rsidRPr="00675348">
              <w:t>EWC-STAT</w:t>
            </w:r>
          </w:p>
        </w:tc>
        <w:tc>
          <w:tcPr>
            <w:tcW w:w="6942" w:type="dxa"/>
            <w:shd w:val="clear" w:color="auto" w:fill="auto"/>
          </w:tcPr>
          <w:p w14:paraId="2892D299" w14:textId="77777777" w:rsidR="001F7ADC" w:rsidRPr="00675348" w:rsidRDefault="001F7ADC" w:rsidP="001F7ADC">
            <w:pPr>
              <w:spacing w:beforeLines="60" w:before="144" w:afterLines="60" w:after="144"/>
            </w:pPr>
            <w:r w:rsidRPr="00675348">
              <w:t>European Waste Catalogue for Statistics</w:t>
            </w:r>
          </w:p>
        </w:tc>
      </w:tr>
      <w:tr w:rsidR="001F7ADC" w:rsidRPr="00675348" w14:paraId="592AB5E6" w14:textId="77777777" w:rsidTr="00EB6139">
        <w:trPr>
          <w:jc w:val="center"/>
        </w:trPr>
        <w:tc>
          <w:tcPr>
            <w:tcW w:w="2499" w:type="dxa"/>
            <w:shd w:val="clear" w:color="auto" w:fill="auto"/>
          </w:tcPr>
          <w:p w14:paraId="327BEA7D" w14:textId="77777777" w:rsidR="001F7ADC" w:rsidRPr="00675348" w:rsidRDefault="001F7ADC" w:rsidP="001F7ADC">
            <w:pPr>
              <w:spacing w:beforeLines="60" w:before="144" w:afterLines="60" w:after="144"/>
            </w:pPr>
            <w:r w:rsidRPr="00675348">
              <w:t>SEPA</w:t>
            </w:r>
          </w:p>
        </w:tc>
        <w:tc>
          <w:tcPr>
            <w:tcW w:w="6942" w:type="dxa"/>
            <w:shd w:val="clear" w:color="auto" w:fill="auto"/>
          </w:tcPr>
          <w:p w14:paraId="56DF8CD5" w14:textId="77777777" w:rsidR="001F7ADC" w:rsidRPr="00675348" w:rsidRDefault="001F7ADC" w:rsidP="001F7ADC">
            <w:pPr>
              <w:spacing w:beforeLines="60" w:before="144" w:afterLines="60" w:after="144"/>
            </w:pPr>
            <w:r w:rsidRPr="00675348">
              <w:t>Scottish Environment Protection Agency</w:t>
            </w:r>
          </w:p>
        </w:tc>
      </w:tr>
      <w:tr w:rsidR="001F7ADC" w:rsidRPr="00675348" w14:paraId="716499A8" w14:textId="77777777" w:rsidTr="00EB6139">
        <w:trPr>
          <w:jc w:val="center"/>
        </w:trPr>
        <w:tc>
          <w:tcPr>
            <w:tcW w:w="2499" w:type="dxa"/>
            <w:shd w:val="clear" w:color="auto" w:fill="auto"/>
          </w:tcPr>
          <w:p w14:paraId="56910F52" w14:textId="77777777" w:rsidR="001F7ADC" w:rsidRPr="00675348" w:rsidRDefault="001F7ADC" w:rsidP="001F7ADC">
            <w:pPr>
              <w:spacing w:beforeLines="60" w:before="144" w:afterLines="60" w:after="144"/>
            </w:pPr>
            <w:r>
              <w:t>WFAS</w:t>
            </w:r>
          </w:p>
        </w:tc>
        <w:tc>
          <w:tcPr>
            <w:tcW w:w="6942" w:type="dxa"/>
            <w:shd w:val="clear" w:color="auto" w:fill="auto"/>
          </w:tcPr>
          <w:p w14:paraId="1605A3AB" w14:textId="77777777" w:rsidR="001F7ADC" w:rsidRPr="00675348" w:rsidRDefault="001F7ADC" w:rsidP="001F7ADC">
            <w:pPr>
              <w:spacing w:beforeLines="60" w:before="144" w:afterLines="60" w:after="144"/>
            </w:pPr>
            <w:r>
              <w:t>Waste From All Sources</w:t>
            </w:r>
          </w:p>
        </w:tc>
      </w:tr>
    </w:tbl>
    <w:p w14:paraId="3B67A743" w14:textId="77777777" w:rsidR="001F7ADC" w:rsidRDefault="001F7ADC" w:rsidP="001F7ADC"/>
    <w:p w14:paraId="20D44B23" w14:textId="77777777" w:rsidR="00EB6139" w:rsidRDefault="00EB6139">
      <w:pPr>
        <w:overflowPunct/>
        <w:autoSpaceDE/>
        <w:autoSpaceDN/>
        <w:adjustRightInd/>
        <w:spacing w:after="0" w:line="240" w:lineRule="auto"/>
        <w:textAlignment w:val="auto"/>
        <w:rPr>
          <w:rFonts w:eastAsiaTheme="majorEastAsia" w:cstheme="majorBidi"/>
          <w:b/>
          <w:color w:val="00526F"/>
          <w:sz w:val="32"/>
          <w:szCs w:val="32"/>
        </w:rPr>
      </w:pPr>
      <w:r>
        <w:br w:type="page"/>
      </w:r>
    </w:p>
    <w:p w14:paraId="1288781B" w14:textId="5752DC25" w:rsidR="001F7ADC" w:rsidRPr="00A51B85" w:rsidRDefault="001F7ADC" w:rsidP="001F7ADC">
      <w:pPr>
        <w:pStyle w:val="Heading1"/>
      </w:pPr>
      <w:bookmarkStart w:id="48" w:name="_Toc52177121"/>
      <w:r>
        <w:lastRenderedPageBreak/>
        <w:t>Version Control</w:t>
      </w:r>
      <w:bookmarkEnd w:id="48"/>
    </w:p>
    <w:p w14:paraId="18745138" w14:textId="77777777" w:rsidR="001F7ADC" w:rsidRDefault="001F7ADC" w:rsidP="001F7ADC"/>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5154"/>
        <w:gridCol w:w="2324"/>
      </w:tblGrid>
      <w:tr w:rsidR="001F7ADC" w:rsidRPr="00497042" w14:paraId="3329CB68" w14:textId="77777777" w:rsidTr="00EE4CBF">
        <w:trPr>
          <w:trHeight w:val="255"/>
          <w:jc w:val="center"/>
        </w:trPr>
        <w:tc>
          <w:tcPr>
            <w:tcW w:w="2195" w:type="dxa"/>
            <w:shd w:val="clear" w:color="auto" w:fill="auto"/>
            <w:noWrap/>
            <w:vAlign w:val="bottom"/>
            <w:hideMark/>
          </w:tcPr>
          <w:p w14:paraId="415C87AB" w14:textId="77777777" w:rsidR="001F7ADC" w:rsidRPr="00497042" w:rsidRDefault="001F7ADC" w:rsidP="00EE4CBF">
            <w:pPr>
              <w:rPr>
                <w:lang w:eastAsia="en-GB"/>
              </w:rPr>
            </w:pPr>
            <w:r>
              <w:rPr>
                <w:lang w:eastAsia="en-GB"/>
              </w:rPr>
              <w:t>Version</w:t>
            </w:r>
          </w:p>
        </w:tc>
        <w:tc>
          <w:tcPr>
            <w:tcW w:w="5154" w:type="dxa"/>
            <w:shd w:val="clear" w:color="auto" w:fill="auto"/>
            <w:noWrap/>
            <w:vAlign w:val="bottom"/>
            <w:hideMark/>
          </w:tcPr>
          <w:p w14:paraId="15CD790D" w14:textId="77777777" w:rsidR="001F7ADC" w:rsidRPr="00497042" w:rsidRDefault="001F7ADC" w:rsidP="00EE4CBF">
            <w:pPr>
              <w:rPr>
                <w:lang w:eastAsia="en-GB"/>
              </w:rPr>
            </w:pPr>
            <w:r>
              <w:rPr>
                <w:lang w:eastAsia="en-GB"/>
              </w:rPr>
              <w:t>Description</w:t>
            </w:r>
          </w:p>
        </w:tc>
        <w:tc>
          <w:tcPr>
            <w:tcW w:w="2324" w:type="dxa"/>
            <w:shd w:val="clear" w:color="auto" w:fill="auto"/>
            <w:noWrap/>
            <w:vAlign w:val="bottom"/>
            <w:hideMark/>
          </w:tcPr>
          <w:p w14:paraId="06A9979B" w14:textId="77777777" w:rsidR="001F7ADC" w:rsidRPr="00497042" w:rsidRDefault="001F7ADC" w:rsidP="00EE4CBF">
            <w:pPr>
              <w:rPr>
                <w:lang w:eastAsia="en-GB"/>
              </w:rPr>
            </w:pPr>
            <w:r w:rsidRPr="00497042">
              <w:rPr>
                <w:lang w:eastAsia="en-GB"/>
              </w:rPr>
              <w:t>Date</w:t>
            </w:r>
          </w:p>
        </w:tc>
      </w:tr>
      <w:tr w:rsidR="001F7ADC" w:rsidRPr="00497042" w14:paraId="72D78BB5" w14:textId="77777777" w:rsidTr="00EE4CBF">
        <w:trPr>
          <w:trHeight w:val="255"/>
          <w:jc w:val="center"/>
        </w:trPr>
        <w:tc>
          <w:tcPr>
            <w:tcW w:w="2195" w:type="dxa"/>
            <w:shd w:val="clear" w:color="auto" w:fill="auto"/>
            <w:noWrap/>
            <w:vAlign w:val="bottom"/>
            <w:hideMark/>
          </w:tcPr>
          <w:p w14:paraId="656D342A" w14:textId="77777777" w:rsidR="001F7ADC" w:rsidRPr="00497042" w:rsidRDefault="001F7ADC" w:rsidP="00EE4CBF">
            <w:pPr>
              <w:rPr>
                <w:lang w:eastAsia="en-GB"/>
              </w:rPr>
            </w:pPr>
            <w:r w:rsidRPr="00497042">
              <w:rPr>
                <w:lang w:eastAsia="en-GB"/>
              </w:rPr>
              <w:t>1</w:t>
            </w:r>
          </w:p>
        </w:tc>
        <w:tc>
          <w:tcPr>
            <w:tcW w:w="5154" w:type="dxa"/>
            <w:shd w:val="clear" w:color="auto" w:fill="auto"/>
            <w:vAlign w:val="bottom"/>
            <w:hideMark/>
          </w:tcPr>
          <w:p w14:paraId="297711DD" w14:textId="77777777" w:rsidR="001F7ADC" w:rsidRPr="00497042" w:rsidRDefault="001F7ADC" w:rsidP="00EE4CBF">
            <w:pPr>
              <w:rPr>
                <w:lang w:eastAsia="en-GB"/>
              </w:rPr>
            </w:pPr>
            <w:r>
              <w:rPr>
                <w:lang w:eastAsia="en-GB"/>
              </w:rPr>
              <w:t>Initial published report</w:t>
            </w:r>
          </w:p>
        </w:tc>
        <w:tc>
          <w:tcPr>
            <w:tcW w:w="2324" w:type="dxa"/>
            <w:shd w:val="clear" w:color="auto" w:fill="auto"/>
            <w:noWrap/>
            <w:vAlign w:val="bottom"/>
            <w:hideMark/>
          </w:tcPr>
          <w:p w14:paraId="57F5269F" w14:textId="51545137" w:rsidR="001F7ADC" w:rsidRPr="00497042" w:rsidRDefault="00BC1D49" w:rsidP="00EE4CBF">
            <w:pPr>
              <w:rPr>
                <w:lang w:eastAsia="en-GB"/>
              </w:rPr>
            </w:pPr>
            <w:r>
              <w:rPr>
                <w:lang w:eastAsia="en-GB"/>
              </w:rPr>
              <w:t>29/9/2020</w:t>
            </w:r>
          </w:p>
        </w:tc>
      </w:tr>
    </w:tbl>
    <w:p w14:paraId="521798D0" w14:textId="77777777" w:rsidR="001F7ADC" w:rsidRDefault="001F7ADC" w:rsidP="001F7ADC"/>
    <w:p w14:paraId="314B6838" w14:textId="77777777" w:rsidR="00D20A80" w:rsidRDefault="00D20A80" w:rsidP="00D20A80">
      <w:pPr>
        <w:overflowPunct/>
        <w:autoSpaceDE/>
        <w:autoSpaceDN/>
        <w:adjustRightInd/>
        <w:textAlignment w:val="auto"/>
      </w:pPr>
    </w:p>
    <w:p w14:paraId="34E9F001" w14:textId="77777777" w:rsidR="00D20A80" w:rsidRDefault="00D20A80" w:rsidP="00D20A80">
      <w:pPr>
        <w:overflowPunct/>
        <w:autoSpaceDE/>
        <w:autoSpaceDN/>
        <w:adjustRightInd/>
        <w:textAlignment w:val="auto"/>
      </w:pPr>
    </w:p>
    <w:p w14:paraId="6DE614D4" w14:textId="276C795E" w:rsidR="00F75EAD" w:rsidRDefault="00F75EAD">
      <w:pPr>
        <w:overflowPunct/>
        <w:autoSpaceDE/>
        <w:autoSpaceDN/>
        <w:adjustRightInd/>
        <w:spacing w:after="0" w:line="240" w:lineRule="auto"/>
        <w:textAlignment w:val="auto"/>
      </w:pPr>
      <w:r>
        <w:br w:type="page"/>
      </w:r>
    </w:p>
    <w:p w14:paraId="401DABA3" w14:textId="39E3CA3A" w:rsidR="005D0013" w:rsidRDefault="005D0013">
      <w:pPr>
        <w:overflowPunct/>
        <w:autoSpaceDE/>
        <w:autoSpaceDN/>
        <w:adjustRightInd/>
        <w:spacing w:after="0" w:line="240" w:lineRule="auto"/>
        <w:textAlignment w:val="auto"/>
        <w:sectPr w:rsidR="005D0013" w:rsidSect="00F75EAD">
          <w:pgSz w:w="11906" w:h="16838"/>
          <w:pgMar w:top="720" w:right="720" w:bottom="720" w:left="720" w:header="567" w:footer="567" w:gutter="0"/>
          <w:cols w:space="720"/>
          <w:titlePg/>
          <w:docGrid w:linePitch="360"/>
        </w:sectPr>
      </w:pPr>
    </w:p>
    <w:p w14:paraId="546DE4AE" w14:textId="77777777" w:rsidR="00EB6139" w:rsidRDefault="00EB6139" w:rsidP="00EB6139">
      <w:pPr>
        <w:overflowPunct/>
        <w:autoSpaceDE/>
        <w:autoSpaceDN/>
        <w:adjustRightInd/>
        <w:textAlignment w:val="auto"/>
        <w:rPr>
          <w:szCs w:val="24"/>
        </w:rPr>
      </w:pPr>
    </w:p>
    <w:p w14:paraId="6F20DA1A" w14:textId="77777777" w:rsidR="00EB6139" w:rsidRDefault="00EB6139" w:rsidP="00EB6139">
      <w:pPr>
        <w:overflowPunct/>
        <w:autoSpaceDE/>
        <w:autoSpaceDN/>
        <w:adjustRightInd/>
        <w:textAlignment w:val="auto"/>
        <w:rPr>
          <w:szCs w:val="24"/>
        </w:rPr>
      </w:pPr>
    </w:p>
    <w:p w14:paraId="06B431CC" w14:textId="77777777" w:rsidR="00EB6139" w:rsidRDefault="00EB6139" w:rsidP="00EB6139">
      <w:pPr>
        <w:overflowPunct/>
        <w:autoSpaceDE/>
        <w:autoSpaceDN/>
        <w:adjustRightInd/>
        <w:textAlignment w:val="auto"/>
        <w:rPr>
          <w:szCs w:val="24"/>
        </w:rPr>
      </w:pPr>
    </w:p>
    <w:p w14:paraId="19819AB6" w14:textId="77777777" w:rsidR="00EB6139" w:rsidRDefault="00EB6139" w:rsidP="00EB6139">
      <w:pPr>
        <w:overflowPunct/>
        <w:autoSpaceDE/>
        <w:autoSpaceDN/>
        <w:adjustRightInd/>
        <w:textAlignment w:val="auto"/>
        <w:rPr>
          <w:szCs w:val="24"/>
        </w:rPr>
      </w:pPr>
    </w:p>
    <w:p w14:paraId="33E7FF06" w14:textId="77777777" w:rsidR="00EB6139" w:rsidRDefault="00EB6139" w:rsidP="00EB6139">
      <w:pPr>
        <w:overflowPunct/>
        <w:autoSpaceDE/>
        <w:autoSpaceDN/>
        <w:adjustRightInd/>
        <w:textAlignment w:val="auto"/>
        <w:rPr>
          <w:szCs w:val="24"/>
        </w:rPr>
      </w:pPr>
    </w:p>
    <w:p w14:paraId="3E6BB5BB" w14:textId="77777777" w:rsidR="00EB6139" w:rsidRDefault="00EB6139" w:rsidP="00EB6139">
      <w:pPr>
        <w:overflowPunct/>
        <w:autoSpaceDE/>
        <w:autoSpaceDN/>
        <w:adjustRightInd/>
        <w:textAlignment w:val="auto"/>
        <w:rPr>
          <w:szCs w:val="24"/>
        </w:rPr>
      </w:pPr>
    </w:p>
    <w:p w14:paraId="60CBB9A7" w14:textId="77777777" w:rsidR="00EB6139" w:rsidRDefault="00EB6139" w:rsidP="00EB6139">
      <w:pPr>
        <w:overflowPunct/>
        <w:autoSpaceDE/>
        <w:autoSpaceDN/>
        <w:adjustRightInd/>
        <w:textAlignment w:val="auto"/>
        <w:rPr>
          <w:szCs w:val="24"/>
        </w:rPr>
      </w:pPr>
    </w:p>
    <w:p w14:paraId="657AF7BC" w14:textId="77777777" w:rsidR="00EB6139" w:rsidRDefault="00EB6139" w:rsidP="00EB6139">
      <w:pPr>
        <w:overflowPunct/>
        <w:autoSpaceDE/>
        <w:autoSpaceDN/>
        <w:adjustRightInd/>
        <w:textAlignment w:val="auto"/>
        <w:rPr>
          <w:szCs w:val="24"/>
        </w:rPr>
      </w:pPr>
    </w:p>
    <w:p w14:paraId="4513D055" w14:textId="77777777" w:rsidR="00EB6139" w:rsidRDefault="00EB6139" w:rsidP="00EB6139">
      <w:pPr>
        <w:overflowPunct/>
        <w:autoSpaceDE/>
        <w:autoSpaceDN/>
        <w:adjustRightInd/>
        <w:textAlignment w:val="auto"/>
        <w:rPr>
          <w:szCs w:val="24"/>
        </w:rPr>
      </w:pPr>
    </w:p>
    <w:p w14:paraId="38EF5812" w14:textId="77777777" w:rsidR="00EB6139" w:rsidRDefault="00EB6139" w:rsidP="00EB6139">
      <w:pPr>
        <w:overflowPunct/>
        <w:autoSpaceDE/>
        <w:autoSpaceDN/>
        <w:adjustRightInd/>
        <w:textAlignment w:val="auto"/>
        <w:rPr>
          <w:szCs w:val="24"/>
        </w:rPr>
      </w:pPr>
    </w:p>
    <w:p w14:paraId="0C3450D9" w14:textId="77777777" w:rsidR="00EB6139" w:rsidRDefault="00EB6139" w:rsidP="00EB6139">
      <w:pPr>
        <w:overflowPunct/>
        <w:autoSpaceDE/>
        <w:autoSpaceDN/>
        <w:adjustRightInd/>
        <w:textAlignment w:val="auto"/>
        <w:rPr>
          <w:szCs w:val="24"/>
        </w:rPr>
      </w:pPr>
    </w:p>
    <w:p w14:paraId="56651306" w14:textId="77777777" w:rsidR="00EB6139" w:rsidRDefault="00EB6139" w:rsidP="00EB6139">
      <w:pPr>
        <w:overflowPunct/>
        <w:autoSpaceDE/>
        <w:autoSpaceDN/>
        <w:adjustRightInd/>
        <w:textAlignment w:val="auto"/>
        <w:rPr>
          <w:szCs w:val="24"/>
        </w:rPr>
      </w:pPr>
    </w:p>
    <w:p w14:paraId="14D62F51" w14:textId="77777777" w:rsidR="00EB6139" w:rsidRDefault="00EB6139" w:rsidP="00EB6139">
      <w:pPr>
        <w:overflowPunct/>
        <w:autoSpaceDE/>
        <w:autoSpaceDN/>
        <w:adjustRightInd/>
        <w:textAlignment w:val="auto"/>
        <w:rPr>
          <w:szCs w:val="24"/>
        </w:rPr>
      </w:pPr>
    </w:p>
    <w:p w14:paraId="6613B409" w14:textId="77777777" w:rsidR="00EB6139" w:rsidRDefault="00EB6139" w:rsidP="00EB6139">
      <w:pPr>
        <w:overflowPunct/>
        <w:autoSpaceDE/>
        <w:autoSpaceDN/>
        <w:adjustRightInd/>
        <w:textAlignment w:val="auto"/>
        <w:rPr>
          <w:szCs w:val="24"/>
        </w:rPr>
      </w:pPr>
    </w:p>
    <w:p w14:paraId="6F1A04C0" w14:textId="1B8C07CB" w:rsidR="00EB6139" w:rsidRPr="00D52002" w:rsidRDefault="00EB6139" w:rsidP="00EB6139">
      <w:pPr>
        <w:overflowPunct/>
        <w:autoSpaceDE/>
        <w:autoSpaceDN/>
        <w:adjustRightInd/>
        <w:textAlignment w:val="auto"/>
        <w:rPr>
          <w:szCs w:val="24"/>
        </w:rPr>
      </w:pPr>
      <w:r w:rsidRPr="00D52002">
        <w:rPr>
          <w:szCs w:val="24"/>
        </w:rPr>
        <w:t>For information on accessing this document in an alternative format or langu</w:t>
      </w:r>
      <w:r>
        <w:rPr>
          <w:szCs w:val="24"/>
        </w:rPr>
        <w:t>age please contact SEPA by email at</w:t>
      </w:r>
      <w:r w:rsidRPr="00D52002">
        <w:rPr>
          <w:szCs w:val="24"/>
        </w:rPr>
        <w:t xml:space="preserve"> </w:t>
      </w:r>
      <w:hyperlink r:id="rId17" w:history="1">
        <w:r w:rsidRPr="00D52002">
          <w:rPr>
            <w:rStyle w:val="Hyperlink"/>
            <w:szCs w:val="24"/>
          </w:rPr>
          <w:t>equalities@sepa.org.uk</w:t>
        </w:r>
      </w:hyperlink>
    </w:p>
    <w:p w14:paraId="5435293E" w14:textId="77777777" w:rsidR="00EB6139" w:rsidRPr="00D52002" w:rsidRDefault="00EB6139" w:rsidP="00EB6139">
      <w:pPr>
        <w:overflowPunct/>
        <w:autoSpaceDE/>
        <w:autoSpaceDN/>
        <w:adjustRightInd/>
        <w:textAlignment w:val="auto"/>
        <w:rPr>
          <w:szCs w:val="24"/>
        </w:rPr>
      </w:pPr>
      <w:r w:rsidRPr="00D52002">
        <w:rPr>
          <w:szCs w:val="24"/>
        </w:rPr>
        <w:t>If you are a user of British Sign Language (BSL) the Contact Scotland BSL service gives you access to an online interpreter enabling you to communicate with us using sign language.</w:t>
      </w:r>
    </w:p>
    <w:p w14:paraId="167C1428" w14:textId="77777777" w:rsidR="00EB6139" w:rsidRPr="00D52002" w:rsidRDefault="00B34361" w:rsidP="00EB6139">
      <w:pPr>
        <w:overflowPunct/>
        <w:autoSpaceDE/>
        <w:autoSpaceDN/>
        <w:adjustRightInd/>
        <w:textAlignment w:val="auto"/>
        <w:rPr>
          <w:rStyle w:val="Hyperlink"/>
          <w:szCs w:val="24"/>
        </w:rPr>
      </w:pPr>
      <w:hyperlink r:id="rId18" w:history="1">
        <w:r w:rsidR="00EB6139" w:rsidRPr="00D52002">
          <w:rPr>
            <w:rStyle w:val="Hyperlink"/>
            <w:szCs w:val="24"/>
          </w:rPr>
          <w:t>http://contactscotland-bsl.org/</w:t>
        </w:r>
      </w:hyperlink>
    </w:p>
    <w:p w14:paraId="311DF3D6" w14:textId="77777777" w:rsidR="00EB6139" w:rsidRDefault="00EB6139" w:rsidP="00EB6139">
      <w:pPr>
        <w:overflowPunct/>
        <w:autoSpaceDE/>
        <w:autoSpaceDN/>
        <w:adjustRightInd/>
        <w:textAlignment w:val="auto"/>
      </w:pPr>
    </w:p>
    <w:p w14:paraId="65202026" w14:textId="77777777" w:rsidR="00EB6139" w:rsidRDefault="00EB6139" w:rsidP="00EB6139">
      <w:pPr>
        <w:overflowPunct/>
        <w:autoSpaceDE/>
        <w:autoSpaceDN/>
        <w:adjustRightInd/>
        <w:textAlignment w:val="auto"/>
      </w:pPr>
    </w:p>
    <w:p w14:paraId="30FA68F5" w14:textId="69721551" w:rsidR="00E05319" w:rsidRPr="00AA2B0A" w:rsidRDefault="00B34361" w:rsidP="00AA2B0A">
      <w:pPr>
        <w:overflowPunct/>
        <w:autoSpaceDE/>
        <w:autoSpaceDN/>
        <w:adjustRightInd/>
        <w:textAlignment w:val="auto"/>
        <w:rPr>
          <w:szCs w:val="24"/>
        </w:rPr>
      </w:pPr>
      <w:hyperlink r:id="rId19" w:history="1">
        <w:r w:rsidR="00EB6139" w:rsidRPr="00D52002">
          <w:rPr>
            <w:rStyle w:val="Hyperlink"/>
            <w:szCs w:val="24"/>
          </w:rPr>
          <w:t>www.sepa.org.uk</w:t>
        </w:r>
      </w:hyperlink>
    </w:p>
    <w:sectPr w:rsidR="00E05319" w:rsidRPr="00AA2B0A" w:rsidSect="00734EC4">
      <w:headerReference w:type="default" r:id="rId20"/>
      <w:footerReference w:type="default" r:id="rId21"/>
      <w:pgSz w:w="11906" w:h="16838"/>
      <w:pgMar w:top="1440" w:right="1083" w:bottom="1440" w:left="108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F4FE" w14:textId="77777777" w:rsidR="00EB6139" w:rsidRDefault="00EB6139" w:rsidP="00C247F1">
      <w:r>
        <w:separator/>
      </w:r>
    </w:p>
  </w:endnote>
  <w:endnote w:type="continuationSeparator" w:id="0">
    <w:p w14:paraId="2F945368" w14:textId="77777777" w:rsidR="00EB6139" w:rsidRDefault="00EB6139" w:rsidP="00C2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7F9C" w14:textId="480D9E12" w:rsidR="00EB6139" w:rsidRPr="00D20A80" w:rsidRDefault="00B34361" w:rsidP="00D20A80">
    <w:pPr>
      <w:pStyle w:val="Footer"/>
      <w:pBdr>
        <w:top w:val="single" w:sz="6" w:space="1" w:color="73AE57"/>
      </w:pBdr>
      <w:spacing w:line="720" w:lineRule="auto"/>
      <w:jc w:val="right"/>
      <w:rPr>
        <w:color w:val="00526F"/>
        <w:sz w:val="20"/>
      </w:rPr>
    </w:pPr>
    <w:sdt>
      <w:sdtPr>
        <w:rPr>
          <w:color w:val="00526F"/>
          <w:sz w:val="20"/>
        </w:rPr>
        <w:id w:val="-1607648892"/>
        <w:docPartObj>
          <w:docPartGallery w:val="Page Numbers (Bottom of Page)"/>
          <w:docPartUnique/>
        </w:docPartObj>
      </w:sdtPr>
      <w:sdtEndPr>
        <w:rPr>
          <w:noProof/>
        </w:rPr>
      </w:sdtEndPr>
      <w:sdtContent>
        <w:r w:rsidR="00EB6139" w:rsidRPr="00667559">
          <w:rPr>
            <w:color w:val="00526F"/>
            <w:sz w:val="20"/>
          </w:rPr>
          <w:fldChar w:fldCharType="begin"/>
        </w:r>
        <w:r w:rsidR="00EB6139" w:rsidRPr="00667559">
          <w:rPr>
            <w:color w:val="00526F"/>
            <w:sz w:val="20"/>
          </w:rPr>
          <w:instrText xml:space="preserve"> PAGE   \* MERGEFORMAT </w:instrText>
        </w:r>
        <w:r w:rsidR="00EB6139" w:rsidRPr="00667559">
          <w:rPr>
            <w:color w:val="00526F"/>
            <w:sz w:val="20"/>
          </w:rPr>
          <w:fldChar w:fldCharType="separate"/>
        </w:r>
        <w:r>
          <w:rPr>
            <w:noProof/>
            <w:color w:val="00526F"/>
            <w:sz w:val="20"/>
          </w:rPr>
          <w:t>15</w:t>
        </w:r>
        <w:r w:rsidR="00EB6139" w:rsidRPr="00667559">
          <w:rPr>
            <w:noProof/>
            <w:color w:val="00526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6FE37" w14:textId="70062969" w:rsidR="00EB6139" w:rsidRPr="00D20A80" w:rsidRDefault="00B34361" w:rsidP="00734EC4">
    <w:pPr>
      <w:pStyle w:val="Footer"/>
      <w:pBdr>
        <w:top w:val="single" w:sz="6" w:space="1" w:color="73AE57"/>
      </w:pBdr>
      <w:spacing w:line="720" w:lineRule="auto"/>
      <w:jc w:val="right"/>
      <w:rPr>
        <w:color w:val="00526F"/>
        <w:sz w:val="20"/>
      </w:rPr>
    </w:pPr>
    <w:sdt>
      <w:sdtPr>
        <w:rPr>
          <w:color w:val="00526F"/>
          <w:sz w:val="20"/>
        </w:rPr>
        <w:id w:val="1357780777"/>
        <w:docPartObj>
          <w:docPartGallery w:val="Page Numbers (Bottom of Page)"/>
          <w:docPartUnique/>
        </w:docPartObj>
      </w:sdtPr>
      <w:sdtEndPr>
        <w:rPr>
          <w:noProof/>
        </w:rPr>
      </w:sdtEndPr>
      <w:sdtContent>
        <w:r w:rsidR="00EB6139" w:rsidRPr="00667559">
          <w:rPr>
            <w:color w:val="00526F"/>
            <w:sz w:val="20"/>
          </w:rPr>
          <w:fldChar w:fldCharType="begin"/>
        </w:r>
        <w:r w:rsidR="00EB6139" w:rsidRPr="00667559">
          <w:rPr>
            <w:color w:val="00526F"/>
            <w:sz w:val="20"/>
          </w:rPr>
          <w:instrText xml:space="preserve"> PAGE   \* MERGEFORMAT </w:instrText>
        </w:r>
        <w:r w:rsidR="00EB6139" w:rsidRPr="00667559">
          <w:rPr>
            <w:color w:val="00526F"/>
            <w:sz w:val="20"/>
          </w:rPr>
          <w:fldChar w:fldCharType="separate"/>
        </w:r>
        <w:r>
          <w:rPr>
            <w:noProof/>
            <w:color w:val="00526F"/>
            <w:sz w:val="20"/>
          </w:rPr>
          <w:t>16</w:t>
        </w:r>
        <w:r w:rsidR="00EB6139" w:rsidRPr="00667559">
          <w:rPr>
            <w:noProof/>
            <w:color w:val="00526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2C62" w14:textId="77777777" w:rsidR="00EB6139" w:rsidRDefault="00EB6139" w:rsidP="00C247F1">
      <w:r>
        <w:separator/>
      </w:r>
    </w:p>
  </w:footnote>
  <w:footnote w:type="continuationSeparator" w:id="0">
    <w:p w14:paraId="6B69488E" w14:textId="77777777" w:rsidR="00EB6139" w:rsidRDefault="00EB6139" w:rsidP="00C247F1">
      <w:r>
        <w:continuationSeparator/>
      </w:r>
    </w:p>
  </w:footnote>
  <w:footnote w:id="1">
    <w:p w14:paraId="449677A6" w14:textId="77777777" w:rsidR="00EB6139" w:rsidRPr="009F4C22" w:rsidRDefault="00EB6139" w:rsidP="001F7ADC">
      <w:pPr>
        <w:pStyle w:val="FootnoteText"/>
        <w:jc w:val="left"/>
      </w:pPr>
      <w:r w:rsidRPr="009F4C22">
        <w:rPr>
          <w:rStyle w:val="FootnoteReference"/>
        </w:rPr>
        <w:footnoteRef/>
      </w:r>
      <w:r w:rsidRPr="009F4C22">
        <w:t xml:space="preserve"> </w:t>
      </w:r>
      <w:hyperlink r:id="rId1" w:history="1">
        <w:r>
          <w:rPr>
            <w:rStyle w:val="Hyperlink"/>
          </w:rPr>
          <w:t>http://www.sepa.org.uk/environment/waste/waste-data/guidance-and-forms-for-operators/licensed-and-permitted-sites/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EDE98" w14:textId="7B9744B4" w:rsidR="00EB6139" w:rsidRDefault="00EB6139" w:rsidP="00EE4CBF">
    <w:pPr>
      <w:pStyle w:val="Header"/>
      <w:pBdr>
        <w:bottom w:val="single" w:sz="6" w:space="1" w:color="73AE57"/>
      </w:pBdr>
      <w:spacing w:line="240" w:lineRule="auto"/>
      <w:jc w:val="right"/>
      <w:rPr>
        <w:color w:val="00526F"/>
        <w:sz w:val="18"/>
        <w:szCs w:val="18"/>
      </w:rPr>
    </w:pPr>
    <w:r>
      <w:rPr>
        <w:color w:val="00526F"/>
        <w:sz w:val="18"/>
        <w:szCs w:val="18"/>
      </w:rPr>
      <w:t>2019 WASTE DATA QUALITY REPORT</w:t>
    </w:r>
  </w:p>
  <w:p w14:paraId="753399CF" w14:textId="77D75AC4" w:rsidR="00EE4CBF" w:rsidRDefault="00EE4CBF" w:rsidP="00EE4CBF">
    <w:pPr>
      <w:pStyle w:val="Header"/>
      <w:pBdr>
        <w:bottom w:val="single" w:sz="6" w:space="1" w:color="73AE57"/>
      </w:pBdr>
      <w:spacing w:line="240" w:lineRule="auto"/>
      <w:jc w:val="right"/>
      <w:rPr>
        <w:color w:val="00526F"/>
        <w:sz w:val="18"/>
        <w:szCs w:val="18"/>
      </w:rPr>
    </w:pPr>
    <w:r>
      <w:rPr>
        <w:color w:val="00526F"/>
        <w:sz w:val="18"/>
        <w:szCs w:val="18"/>
      </w:rPr>
      <w:t>WASTE INCINERATED IN SCOTLAND</w:t>
    </w:r>
  </w:p>
  <w:p w14:paraId="72FA8E1C" w14:textId="0D80C128" w:rsidR="00EB6139" w:rsidRPr="0021101A" w:rsidRDefault="00EB6139" w:rsidP="0011785D">
    <w:pPr>
      <w:pStyle w:val="Header"/>
      <w:pBdr>
        <w:bottom w:val="single" w:sz="6" w:space="1" w:color="73AE57"/>
      </w:pBdr>
      <w:jc w:val="right"/>
      <w:rPr>
        <w:color w:val="00526F"/>
        <w:sz w:val="18"/>
        <w:szCs w:val="18"/>
      </w:rPr>
    </w:pPr>
    <w:r w:rsidRPr="0021101A">
      <w:rPr>
        <w:color w:val="00526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71AC" w14:textId="77777777" w:rsidR="00EB6139" w:rsidRDefault="00EB6139" w:rsidP="00734EC4">
    <w:pPr>
      <w:pStyle w:val="Header"/>
      <w:pBdr>
        <w:bottom w:val="single" w:sz="6" w:space="1" w:color="73AE57"/>
      </w:pBdr>
      <w:jc w:val="right"/>
      <w:rPr>
        <w:color w:val="00526F"/>
        <w:sz w:val="18"/>
        <w:szCs w:val="18"/>
      </w:rPr>
    </w:pPr>
    <w:r>
      <w:rPr>
        <w:color w:val="00526F"/>
        <w:sz w:val="18"/>
        <w:szCs w:val="18"/>
      </w:rPr>
      <w:t>&lt;Report title here&gt;</w:t>
    </w:r>
  </w:p>
  <w:p w14:paraId="57CB05CF" w14:textId="43030FE2" w:rsidR="00EB6139" w:rsidRPr="0021101A" w:rsidRDefault="00EB6139" w:rsidP="00734EC4">
    <w:pPr>
      <w:pStyle w:val="Header"/>
      <w:pBdr>
        <w:bottom w:val="single" w:sz="6" w:space="1" w:color="73AE57"/>
      </w:pBdr>
      <w:jc w:val="right"/>
      <w:rPr>
        <w:color w:val="00526F"/>
        <w:sz w:val="18"/>
        <w:szCs w:val="18"/>
      </w:rPr>
    </w:pPr>
    <w:r w:rsidRPr="0021101A">
      <w:rPr>
        <w:color w:val="00526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C51"/>
    <w:multiLevelType w:val="hybridMultilevel"/>
    <w:tmpl w:val="29B69E20"/>
    <w:lvl w:ilvl="0" w:tplc="B7DAB86A">
      <w:start w:val="1"/>
      <w:numFmt w:val="bullet"/>
      <w:lvlText w:val="•"/>
      <w:lvlJc w:val="left"/>
      <w:pPr>
        <w:tabs>
          <w:tab w:val="num" w:pos="720"/>
        </w:tabs>
        <w:ind w:left="720" w:hanging="360"/>
      </w:pPr>
      <w:rPr>
        <w:rFonts w:ascii="Times New Roman" w:hAnsi="Times New Roman" w:hint="default"/>
      </w:rPr>
    </w:lvl>
    <w:lvl w:ilvl="1" w:tplc="6BF03C72" w:tentative="1">
      <w:start w:val="1"/>
      <w:numFmt w:val="bullet"/>
      <w:lvlText w:val="•"/>
      <w:lvlJc w:val="left"/>
      <w:pPr>
        <w:tabs>
          <w:tab w:val="num" w:pos="1440"/>
        </w:tabs>
        <w:ind w:left="1440" w:hanging="360"/>
      </w:pPr>
      <w:rPr>
        <w:rFonts w:ascii="Times New Roman" w:hAnsi="Times New Roman" w:hint="default"/>
      </w:rPr>
    </w:lvl>
    <w:lvl w:ilvl="2" w:tplc="44F82B9C" w:tentative="1">
      <w:start w:val="1"/>
      <w:numFmt w:val="bullet"/>
      <w:lvlText w:val="•"/>
      <w:lvlJc w:val="left"/>
      <w:pPr>
        <w:tabs>
          <w:tab w:val="num" w:pos="2160"/>
        </w:tabs>
        <w:ind w:left="2160" w:hanging="360"/>
      </w:pPr>
      <w:rPr>
        <w:rFonts w:ascii="Times New Roman" w:hAnsi="Times New Roman" w:hint="default"/>
      </w:rPr>
    </w:lvl>
    <w:lvl w:ilvl="3" w:tplc="655C0F38" w:tentative="1">
      <w:start w:val="1"/>
      <w:numFmt w:val="bullet"/>
      <w:lvlText w:val="•"/>
      <w:lvlJc w:val="left"/>
      <w:pPr>
        <w:tabs>
          <w:tab w:val="num" w:pos="2880"/>
        </w:tabs>
        <w:ind w:left="2880" w:hanging="360"/>
      </w:pPr>
      <w:rPr>
        <w:rFonts w:ascii="Times New Roman" w:hAnsi="Times New Roman" w:hint="default"/>
      </w:rPr>
    </w:lvl>
    <w:lvl w:ilvl="4" w:tplc="392E236A" w:tentative="1">
      <w:start w:val="1"/>
      <w:numFmt w:val="bullet"/>
      <w:lvlText w:val="•"/>
      <w:lvlJc w:val="left"/>
      <w:pPr>
        <w:tabs>
          <w:tab w:val="num" w:pos="3600"/>
        </w:tabs>
        <w:ind w:left="3600" w:hanging="360"/>
      </w:pPr>
      <w:rPr>
        <w:rFonts w:ascii="Times New Roman" w:hAnsi="Times New Roman" w:hint="default"/>
      </w:rPr>
    </w:lvl>
    <w:lvl w:ilvl="5" w:tplc="F4D67D90" w:tentative="1">
      <w:start w:val="1"/>
      <w:numFmt w:val="bullet"/>
      <w:lvlText w:val="•"/>
      <w:lvlJc w:val="left"/>
      <w:pPr>
        <w:tabs>
          <w:tab w:val="num" w:pos="4320"/>
        </w:tabs>
        <w:ind w:left="4320" w:hanging="360"/>
      </w:pPr>
      <w:rPr>
        <w:rFonts w:ascii="Times New Roman" w:hAnsi="Times New Roman" w:hint="default"/>
      </w:rPr>
    </w:lvl>
    <w:lvl w:ilvl="6" w:tplc="60D67A70" w:tentative="1">
      <w:start w:val="1"/>
      <w:numFmt w:val="bullet"/>
      <w:lvlText w:val="•"/>
      <w:lvlJc w:val="left"/>
      <w:pPr>
        <w:tabs>
          <w:tab w:val="num" w:pos="5040"/>
        </w:tabs>
        <w:ind w:left="5040" w:hanging="360"/>
      </w:pPr>
      <w:rPr>
        <w:rFonts w:ascii="Times New Roman" w:hAnsi="Times New Roman" w:hint="default"/>
      </w:rPr>
    </w:lvl>
    <w:lvl w:ilvl="7" w:tplc="A2B8100E" w:tentative="1">
      <w:start w:val="1"/>
      <w:numFmt w:val="bullet"/>
      <w:lvlText w:val="•"/>
      <w:lvlJc w:val="left"/>
      <w:pPr>
        <w:tabs>
          <w:tab w:val="num" w:pos="5760"/>
        </w:tabs>
        <w:ind w:left="5760" w:hanging="360"/>
      </w:pPr>
      <w:rPr>
        <w:rFonts w:ascii="Times New Roman" w:hAnsi="Times New Roman" w:hint="default"/>
      </w:rPr>
    </w:lvl>
    <w:lvl w:ilvl="8" w:tplc="50B482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91467B"/>
    <w:multiLevelType w:val="hybridMultilevel"/>
    <w:tmpl w:val="3DF08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2189B"/>
    <w:multiLevelType w:val="hybridMultilevel"/>
    <w:tmpl w:val="33A0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70EA"/>
    <w:multiLevelType w:val="hybridMultilevel"/>
    <w:tmpl w:val="1B38A42C"/>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412120"/>
    <w:multiLevelType w:val="hybridMultilevel"/>
    <w:tmpl w:val="751C4922"/>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24FFA"/>
    <w:multiLevelType w:val="hybridMultilevel"/>
    <w:tmpl w:val="7F6016F2"/>
    <w:lvl w:ilvl="0" w:tplc="1676309E">
      <w:start w:val="1"/>
      <w:numFmt w:val="bullet"/>
      <w:lvlText w:val=""/>
      <w:lvlJc w:val="left"/>
      <w:pPr>
        <w:ind w:left="363" w:hanging="360"/>
      </w:pPr>
      <w:rPr>
        <w:rFonts w:ascii="Wingdings" w:hAnsi="Wingdings" w:hint="default"/>
        <w:color w:val="73AE57"/>
        <w:sz w:val="36"/>
        <w:szCs w:val="36"/>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0FE208FD"/>
    <w:multiLevelType w:val="hybridMultilevel"/>
    <w:tmpl w:val="61B84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05490"/>
    <w:multiLevelType w:val="hybridMultilevel"/>
    <w:tmpl w:val="BA9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0094A"/>
    <w:multiLevelType w:val="hybridMultilevel"/>
    <w:tmpl w:val="16562218"/>
    <w:lvl w:ilvl="0" w:tplc="4C82AA92">
      <w:start w:val="1"/>
      <w:numFmt w:val="bullet"/>
      <w:lvlText w:val="•"/>
      <w:lvlJc w:val="left"/>
      <w:pPr>
        <w:tabs>
          <w:tab w:val="num" w:pos="720"/>
        </w:tabs>
        <w:ind w:left="720" w:hanging="360"/>
      </w:pPr>
      <w:rPr>
        <w:rFonts w:ascii="Times New Roman" w:hAnsi="Times New Roman" w:hint="default"/>
      </w:rPr>
    </w:lvl>
    <w:lvl w:ilvl="1" w:tplc="0C709A70" w:tentative="1">
      <w:start w:val="1"/>
      <w:numFmt w:val="bullet"/>
      <w:lvlText w:val="•"/>
      <w:lvlJc w:val="left"/>
      <w:pPr>
        <w:tabs>
          <w:tab w:val="num" w:pos="1440"/>
        </w:tabs>
        <w:ind w:left="1440" w:hanging="360"/>
      </w:pPr>
      <w:rPr>
        <w:rFonts w:ascii="Times New Roman" w:hAnsi="Times New Roman" w:hint="default"/>
      </w:rPr>
    </w:lvl>
    <w:lvl w:ilvl="2" w:tplc="675E0E70" w:tentative="1">
      <w:start w:val="1"/>
      <w:numFmt w:val="bullet"/>
      <w:lvlText w:val="•"/>
      <w:lvlJc w:val="left"/>
      <w:pPr>
        <w:tabs>
          <w:tab w:val="num" w:pos="2160"/>
        </w:tabs>
        <w:ind w:left="2160" w:hanging="360"/>
      </w:pPr>
      <w:rPr>
        <w:rFonts w:ascii="Times New Roman" w:hAnsi="Times New Roman" w:hint="default"/>
      </w:rPr>
    </w:lvl>
    <w:lvl w:ilvl="3" w:tplc="3ABC899C" w:tentative="1">
      <w:start w:val="1"/>
      <w:numFmt w:val="bullet"/>
      <w:lvlText w:val="•"/>
      <w:lvlJc w:val="left"/>
      <w:pPr>
        <w:tabs>
          <w:tab w:val="num" w:pos="2880"/>
        </w:tabs>
        <w:ind w:left="2880" w:hanging="360"/>
      </w:pPr>
      <w:rPr>
        <w:rFonts w:ascii="Times New Roman" w:hAnsi="Times New Roman" w:hint="default"/>
      </w:rPr>
    </w:lvl>
    <w:lvl w:ilvl="4" w:tplc="9380FDFE" w:tentative="1">
      <w:start w:val="1"/>
      <w:numFmt w:val="bullet"/>
      <w:lvlText w:val="•"/>
      <w:lvlJc w:val="left"/>
      <w:pPr>
        <w:tabs>
          <w:tab w:val="num" w:pos="3600"/>
        </w:tabs>
        <w:ind w:left="3600" w:hanging="360"/>
      </w:pPr>
      <w:rPr>
        <w:rFonts w:ascii="Times New Roman" w:hAnsi="Times New Roman" w:hint="default"/>
      </w:rPr>
    </w:lvl>
    <w:lvl w:ilvl="5" w:tplc="9EF6F0F8" w:tentative="1">
      <w:start w:val="1"/>
      <w:numFmt w:val="bullet"/>
      <w:lvlText w:val="•"/>
      <w:lvlJc w:val="left"/>
      <w:pPr>
        <w:tabs>
          <w:tab w:val="num" w:pos="4320"/>
        </w:tabs>
        <w:ind w:left="4320" w:hanging="360"/>
      </w:pPr>
      <w:rPr>
        <w:rFonts w:ascii="Times New Roman" w:hAnsi="Times New Roman" w:hint="default"/>
      </w:rPr>
    </w:lvl>
    <w:lvl w:ilvl="6" w:tplc="190AEE06" w:tentative="1">
      <w:start w:val="1"/>
      <w:numFmt w:val="bullet"/>
      <w:lvlText w:val="•"/>
      <w:lvlJc w:val="left"/>
      <w:pPr>
        <w:tabs>
          <w:tab w:val="num" w:pos="5040"/>
        </w:tabs>
        <w:ind w:left="5040" w:hanging="360"/>
      </w:pPr>
      <w:rPr>
        <w:rFonts w:ascii="Times New Roman" w:hAnsi="Times New Roman" w:hint="default"/>
      </w:rPr>
    </w:lvl>
    <w:lvl w:ilvl="7" w:tplc="11A0A45C" w:tentative="1">
      <w:start w:val="1"/>
      <w:numFmt w:val="bullet"/>
      <w:lvlText w:val="•"/>
      <w:lvlJc w:val="left"/>
      <w:pPr>
        <w:tabs>
          <w:tab w:val="num" w:pos="5760"/>
        </w:tabs>
        <w:ind w:left="5760" w:hanging="360"/>
      </w:pPr>
      <w:rPr>
        <w:rFonts w:ascii="Times New Roman" w:hAnsi="Times New Roman" w:hint="default"/>
      </w:rPr>
    </w:lvl>
    <w:lvl w:ilvl="8" w:tplc="000A01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6B1F6D"/>
    <w:multiLevelType w:val="hybridMultilevel"/>
    <w:tmpl w:val="C094712E"/>
    <w:lvl w:ilvl="0" w:tplc="53DC8898">
      <w:start w:val="1"/>
      <w:numFmt w:val="bullet"/>
      <w:lvlText w:val="•"/>
      <w:lvlJc w:val="left"/>
      <w:pPr>
        <w:tabs>
          <w:tab w:val="num" w:pos="720"/>
        </w:tabs>
        <w:ind w:left="720" w:hanging="360"/>
      </w:pPr>
      <w:rPr>
        <w:rFonts w:ascii="Times New Roman" w:hAnsi="Times New Roman" w:hint="default"/>
      </w:rPr>
    </w:lvl>
    <w:lvl w:ilvl="1" w:tplc="D1F409F8" w:tentative="1">
      <w:start w:val="1"/>
      <w:numFmt w:val="bullet"/>
      <w:lvlText w:val="•"/>
      <w:lvlJc w:val="left"/>
      <w:pPr>
        <w:tabs>
          <w:tab w:val="num" w:pos="1440"/>
        </w:tabs>
        <w:ind w:left="1440" w:hanging="360"/>
      </w:pPr>
      <w:rPr>
        <w:rFonts w:ascii="Times New Roman" w:hAnsi="Times New Roman" w:hint="default"/>
      </w:rPr>
    </w:lvl>
    <w:lvl w:ilvl="2" w:tplc="D1EE575A" w:tentative="1">
      <w:start w:val="1"/>
      <w:numFmt w:val="bullet"/>
      <w:lvlText w:val="•"/>
      <w:lvlJc w:val="left"/>
      <w:pPr>
        <w:tabs>
          <w:tab w:val="num" w:pos="2160"/>
        </w:tabs>
        <w:ind w:left="2160" w:hanging="360"/>
      </w:pPr>
      <w:rPr>
        <w:rFonts w:ascii="Times New Roman" w:hAnsi="Times New Roman" w:hint="default"/>
      </w:rPr>
    </w:lvl>
    <w:lvl w:ilvl="3" w:tplc="A156EB0C" w:tentative="1">
      <w:start w:val="1"/>
      <w:numFmt w:val="bullet"/>
      <w:lvlText w:val="•"/>
      <w:lvlJc w:val="left"/>
      <w:pPr>
        <w:tabs>
          <w:tab w:val="num" w:pos="2880"/>
        </w:tabs>
        <w:ind w:left="2880" w:hanging="360"/>
      </w:pPr>
      <w:rPr>
        <w:rFonts w:ascii="Times New Roman" w:hAnsi="Times New Roman" w:hint="default"/>
      </w:rPr>
    </w:lvl>
    <w:lvl w:ilvl="4" w:tplc="AF48E940" w:tentative="1">
      <w:start w:val="1"/>
      <w:numFmt w:val="bullet"/>
      <w:lvlText w:val="•"/>
      <w:lvlJc w:val="left"/>
      <w:pPr>
        <w:tabs>
          <w:tab w:val="num" w:pos="3600"/>
        </w:tabs>
        <w:ind w:left="3600" w:hanging="360"/>
      </w:pPr>
      <w:rPr>
        <w:rFonts w:ascii="Times New Roman" w:hAnsi="Times New Roman" w:hint="default"/>
      </w:rPr>
    </w:lvl>
    <w:lvl w:ilvl="5" w:tplc="CBB0CDAE" w:tentative="1">
      <w:start w:val="1"/>
      <w:numFmt w:val="bullet"/>
      <w:lvlText w:val="•"/>
      <w:lvlJc w:val="left"/>
      <w:pPr>
        <w:tabs>
          <w:tab w:val="num" w:pos="4320"/>
        </w:tabs>
        <w:ind w:left="4320" w:hanging="360"/>
      </w:pPr>
      <w:rPr>
        <w:rFonts w:ascii="Times New Roman" w:hAnsi="Times New Roman" w:hint="default"/>
      </w:rPr>
    </w:lvl>
    <w:lvl w:ilvl="6" w:tplc="49F25E4C" w:tentative="1">
      <w:start w:val="1"/>
      <w:numFmt w:val="bullet"/>
      <w:lvlText w:val="•"/>
      <w:lvlJc w:val="left"/>
      <w:pPr>
        <w:tabs>
          <w:tab w:val="num" w:pos="5040"/>
        </w:tabs>
        <w:ind w:left="5040" w:hanging="360"/>
      </w:pPr>
      <w:rPr>
        <w:rFonts w:ascii="Times New Roman" w:hAnsi="Times New Roman" w:hint="default"/>
      </w:rPr>
    </w:lvl>
    <w:lvl w:ilvl="7" w:tplc="ECF2B13E" w:tentative="1">
      <w:start w:val="1"/>
      <w:numFmt w:val="bullet"/>
      <w:lvlText w:val="•"/>
      <w:lvlJc w:val="left"/>
      <w:pPr>
        <w:tabs>
          <w:tab w:val="num" w:pos="5760"/>
        </w:tabs>
        <w:ind w:left="5760" w:hanging="360"/>
      </w:pPr>
      <w:rPr>
        <w:rFonts w:ascii="Times New Roman" w:hAnsi="Times New Roman" w:hint="default"/>
      </w:rPr>
    </w:lvl>
    <w:lvl w:ilvl="8" w:tplc="29E8FF1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F31E81"/>
    <w:multiLevelType w:val="hybridMultilevel"/>
    <w:tmpl w:val="C1E043A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4C23F6"/>
    <w:multiLevelType w:val="hybridMultilevel"/>
    <w:tmpl w:val="B4907B36"/>
    <w:lvl w:ilvl="0" w:tplc="98C2EE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13BCF"/>
    <w:multiLevelType w:val="hybridMultilevel"/>
    <w:tmpl w:val="505AFD06"/>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3440E4"/>
    <w:multiLevelType w:val="hybridMultilevel"/>
    <w:tmpl w:val="69684B9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164319"/>
    <w:multiLevelType w:val="hybridMultilevel"/>
    <w:tmpl w:val="BD9EF95C"/>
    <w:lvl w:ilvl="0" w:tplc="BF6041CE">
      <w:start w:val="1"/>
      <w:numFmt w:val="bullet"/>
      <w:lvlText w:val="•"/>
      <w:lvlJc w:val="left"/>
      <w:pPr>
        <w:tabs>
          <w:tab w:val="num" w:pos="720"/>
        </w:tabs>
        <w:ind w:left="720" w:hanging="360"/>
      </w:pPr>
      <w:rPr>
        <w:rFonts w:ascii="Times New Roman" w:hAnsi="Times New Roman" w:hint="default"/>
      </w:rPr>
    </w:lvl>
    <w:lvl w:ilvl="1" w:tplc="F77867A2" w:tentative="1">
      <w:start w:val="1"/>
      <w:numFmt w:val="bullet"/>
      <w:lvlText w:val="•"/>
      <w:lvlJc w:val="left"/>
      <w:pPr>
        <w:tabs>
          <w:tab w:val="num" w:pos="1440"/>
        </w:tabs>
        <w:ind w:left="1440" w:hanging="360"/>
      </w:pPr>
      <w:rPr>
        <w:rFonts w:ascii="Times New Roman" w:hAnsi="Times New Roman" w:hint="default"/>
      </w:rPr>
    </w:lvl>
    <w:lvl w:ilvl="2" w:tplc="170ED3B4" w:tentative="1">
      <w:start w:val="1"/>
      <w:numFmt w:val="bullet"/>
      <w:lvlText w:val="•"/>
      <w:lvlJc w:val="left"/>
      <w:pPr>
        <w:tabs>
          <w:tab w:val="num" w:pos="2160"/>
        </w:tabs>
        <w:ind w:left="2160" w:hanging="360"/>
      </w:pPr>
      <w:rPr>
        <w:rFonts w:ascii="Times New Roman" w:hAnsi="Times New Roman" w:hint="default"/>
      </w:rPr>
    </w:lvl>
    <w:lvl w:ilvl="3" w:tplc="42227892" w:tentative="1">
      <w:start w:val="1"/>
      <w:numFmt w:val="bullet"/>
      <w:lvlText w:val="•"/>
      <w:lvlJc w:val="left"/>
      <w:pPr>
        <w:tabs>
          <w:tab w:val="num" w:pos="2880"/>
        </w:tabs>
        <w:ind w:left="2880" w:hanging="360"/>
      </w:pPr>
      <w:rPr>
        <w:rFonts w:ascii="Times New Roman" w:hAnsi="Times New Roman" w:hint="default"/>
      </w:rPr>
    </w:lvl>
    <w:lvl w:ilvl="4" w:tplc="1056F48E" w:tentative="1">
      <w:start w:val="1"/>
      <w:numFmt w:val="bullet"/>
      <w:lvlText w:val="•"/>
      <w:lvlJc w:val="left"/>
      <w:pPr>
        <w:tabs>
          <w:tab w:val="num" w:pos="3600"/>
        </w:tabs>
        <w:ind w:left="3600" w:hanging="360"/>
      </w:pPr>
      <w:rPr>
        <w:rFonts w:ascii="Times New Roman" w:hAnsi="Times New Roman" w:hint="default"/>
      </w:rPr>
    </w:lvl>
    <w:lvl w:ilvl="5" w:tplc="94FAC49E" w:tentative="1">
      <w:start w:val="1"/>
      <w:numFmt w:val="bullet"/>
      <w:lvlText w:val="•"/>
      <w:lvlJc w:val="left"/>
      <w:pPr>
        <w:tabs>
          <w:tab w:val="num" w:pos="4320"/>
        </w:tabs>
        <w:ind w:left="4320" w:hanging="360"/>
      </w:pPr>
      <w:rPr>
        <w:rFonts w:ascii="Times New Roman" w:hAnsi="Times New Roman" w:hint="default"/>
      </w:rPr>
    </w:lvl>
    <w:lvl w:ilvl="6" w:tplc="74E4F22C" w:tentative="1">
      <w:start w:val="1"/>
      <w:numFmt w:val="bullet"/>
      <w:lvlText w:val="•"/>
      <w:lvlJc w:val="left"/>
      <w:pPr>
        <w:tabs>
          <w:tab w:val="num" w:pos="5040"/>
        </w:tabs>
        <w:ind w:left="5040" w:hanging="360"/>
      </w:pPr>
      <w:rPr>
        <w:rFonts w:ascii="Times New Roman" w:hAnsi="Times New Roman" w:hint="default"/>
      </w:rPr>
    </w:lvl>
    <w:lvl w:ilvl="7" w:tplc="3CFCDB2E" w:tentative="1">
      <w:start w:val="1"/>
      <w:numFmt w:val="bullet"/>
      <w:lvlText w:val="•"/>
      <w:lvlJc w:val="left"/>
      <w:pPr>
        <w:tabs>
          <w:tab w:val="num" w:pos="5760"/>
        </w:tabs>
        <w:ind w:left="5760" w:hanging="360"/>
      </w:pPr>
      <w:rPr>
        <w:rFonts w:ascii="Times New Roman" w:hAnsi="Times New Roman" w:hint="default"/>
      </w:rPr>
    </w:lvl>
    <w:lvl w:ilvl="8" w:tplc="FDF8D92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D35CE7"/>
    <w:multiLevelType w:val="hybridMultilevel"/>
    <w:tmpl w:val="95DC84E6"/>
    <w:lvl w:ilvl="0" w:tplc="416C3A92">
      <w:numFmt w:val="bullet"/>
      <w:lvlText w:val="•"/>
      <w:lvlJc w:val="righ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4A1328A"/>
    <w:multiLevelType w:val="hybridMultilevel"/>
    <w:tmpl w:val="805A5ECC"/>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E4314"/>
    <w:multiLevelType w:val="hybridMultilevel"/>
    <w:tmpl w:val="9E7EDE68"/>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0610A"/>
    <w:multiLevelType w:val="hybridMultilevel"/>
    <w:tmpl w:val="18F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F5984"/>
    <w:multiLevelType w:val="hybridMultilevel"/>
    <w:tmpl w:val="DEB2D26A"/>
    <w:lvl w:ilvl="0" w:tplc="BD166DD4">
      <w:start w:val="1"/>
      <w:numFmt w:val="bullet"/>
      <w:lvlText w:val="•"/>
      <w:lvlJc w:val="left"/>
      <w:pPr>
        <w:tabs>
          <w:tab w:val="num" w:pos="720"/>
        </w:tabs>
        <w:ind w:left="720" w:hanging="360"/>
      </w:pPr>
      <w:rPr>
        <w:rFonts w:ascii="Times New Roman" w:hAnsi="Times New Roman" w:hint="default"/>
      </w:rPr>
    </w:lvl>
    <w:lvl w:ilvl="1" w:tplc="E940EEAE" w:tentative="1">
      <w:start w:val="1"/>
      <w:numFmt w:val="bullet"/>
      <w:lvlText w:val="•"/>
      <w:lvlJc w:val="left"/>
      <w:pPr>
        <w:tabs>
          <w:tab w:val="num" w:pos="1440"/>
        </w:tabs>
        <w:ind w:left="1440" w:hanging="360"/>
      </w:pPr>
      <w:rPr>
        <w:rFonts w:ascii="Times New Roman" w:hAnsi="Times New Roman" w:hint="default"/>
      </w:rPr>
    </w:lvl>
    <w:lvl w:ilvl="2" w:tplc="1728A490" w:tentative="1">
      <w:start w:val="1"/>
      <w:numFmt w:val="bullet"/>
      <w:lvlText w:val="•"/>
      <w:lvlJc w:val="left"/>
      <w:pPr>
        <w:tabs>
          <w:tab w:val="num" w:pos="2160"/>
        </w:tabs>
        <w:ind w:left="2160" w:hanging="360"/>
      </w:pPr>
      <w:rPr>
        <w:rFonts w:ascii="Times New Roman" w:hAnsi="Times New Roman" w:hint="default"/>
      </w:rPr>
    </w:lvl>
    <w:lvl w:ilvl="3" w:tplc="AF08642C" w:tentative="1">
      <w:start w:val="1"/>
      <w:numFmt w:val="bullet"/>
      <w:lvlText w:val="•"/>
      <w:lvlJc w:val="left"/>
      <w:pPr>
        <w:tabs>
          <w:tab w:val="num" w:pos="2880"/>
        </w:tabs>
        <w:ind w:left="2880" w:hanging="360"/>
      </w:pPr>
      <w:rPr>
        <w:rFonts w:ascii="Times New Roman" w:hAnsi="Times New Roman" w:hint="default"/>
      </w:rPr>
    </w:lvl>
    <w:lvl w:ilvl="4" w:tplc="63367A96" w:tentative="1">
      <w:start w:val="1"/>
      <w:numFmt w:val="bullet"/>
      <w:lvlText w:val="•"/>
      <w:lvlJc w:val="left"/>
      <w:pPr>
        <w:tabs>
          <w:tab w:val="num" w:pos="3600"/>
        </w:tabs>
        <w:ind w:left="3600" w:hanging="360"/>
      </w:pPr>
      <w:rPr>
        <w:rFonts w:ascii="Times New Roman" w:hAnsi="Times New Roman" w:hint="default"/>
      </w:rPr>
    </w:lvl>
    <w:lvl w:ilvl="5" w:tplc="6C64946A" w:tentative="1">
      <w:start w:val="1"/>
      <w:numFmt w:val="bullet"/>
      <w:lvlText w:val="•"/>
      <w:lvlJc w:val="left"/>
      <w:pPr>
        <w:tabs>
          <w:tab w:val="num" w:pos="4320"/>
        </w:tabs>
        <w:ind w:left="4320" w:hanging="360"/>
      </w:pPr>
      <w:rPr>
        <w:rFonts w:ascii="Times New Roman" w:hAnsi="Times New Roman" w:hint="default"/>
      </w:rPr>
    </w:lvl>
    <w:lvl w:ilvl="6" w:tplc="25DA9954" w:tentative="1">
      <w:start w:val="1"/>
      <w:numFmt w:val="bullet"/>
      <w:lvlText w:val="•"/>
      <w:lvlJc w:val="left"/>
      <w:pPr>
        <w:tabs>
          <w:tab w:val="num" w:pos="5040"/>
        </w:tabs>
        <w:ind w:left="5040" w:hanging="360"/>
      </w:pPr>
      <w:rPr>
        <w:rFonts w:ascii="Times New Roman" w:hAnsi="Times New Roman" w:hint="default"/>
      </w:rPr>
    </w:lvl>
    <w:lvl w:ilvl="7" w:tplc="BC6E635E" w:tentative="1">
      <w:start w:val="1"/>
      <w:numFmt w:val="bullet"/>
      <w:lvlText w:val="•"/>
      <w:lvlJc w:val="left"/>
      <w:pPr>
        <w:tabs>
          <w:tab w:val="num" w:pos="5760"/>
        </w:tabs>
        <w:ind w:left="5760" w:hanging="360"/>
      </w:pPr>
      <w:rPr>
        <w:rFonts w:ascii="Times New Roman" w:hAnsi="Times New Roman" w:hint="default"/>
      </w:rPr>
    </w:lvl>
    <w:lvl w:ilvl="8" w:tplc="68CA930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3C910EE"/>
    <w:multiLevelType w:val="hybridMultilevel"/>
    <w:tmpl w:val="5D76E452"/>
    <w:lvl w:ilvl="0" w:tplc="CFBCDE76">
      <w:start w:val="1"/>
      <w:numFmt w:val="bullet"/>
      <w:lvlText w:val="•"/>
      <w:lvlJc w:val="left"/>
      <w:pPr>
        <w:tabs>
          <w:tab w:val="num" w:pos="720"/>
        </w:tabs>
        <w:ind w:left="720" w:hanging="360"/>
      </w:pPr>
      <w:rPr>
        <w:rFonts w:ascii="Times New Roman" w:hAnsi="Times New Roman" w:hint="default"/>
      </w:rPr>
    </w:lvl>
    <w:lvl w:ilvl="1" w:tplc="FD6803EC" w:tentative="1">
      <w:start w:val="1"/>
      <w:numFmt w:val="bullet"/>
      <w:lvlText w:val="•"/>
      <w:lvlJc w:val="left"/>
      <w:pPr>
        <w:tabs>
          <w:tab w:val="num" w:pos="1440"/>
        </w:tabs>
        <w:ind w:left="1440" w:hanging="360"/>
      </w:pPr>
      <w:rPr>
        <w:rFonts w:ascii="Times New Roman" w:hAnsi="Times New Roman" w:hint="default"/>
      </w:rPr>
    </w:lvl>
    <w:lvl w:ilvl="2" w:tplc="D75C64B2" w:tentative="1">
      <w:start w:val="1"/>
      <w:numFmt w:val="bullet"/>
      <w:lvlText w:val="•"/>
      <w:lvlJc w:val="left"/>
      <w:pPr>
        <w:tabs>
          <w:tab w:val="num" w:pos="2160"/>
        </w:tabs>
        <w:ind w:left="2160" w:hanging="360"/>
      </w:pPr>
      <w:rPr>
        <w:rFonts w:ascii="Times New Roman" w:hAnsi="Times New Roman" w:hint="default"/>
      </w:rPr>
    </w:lvl>
    <w:lvl w:ilvl="3" w:tplc="966C4910" w:tentative="1">
      <w:start w:val="1"/>
      <w:numFmt w:val="bullet"/>
      <w:lvlText w:val="•"/>
      <w:lvlJc w:val="left"/>
      <w:pPr>
        <w:tabs>
          <w:tab w:val="num" w:pos="2880"/>
        </w:tabs>
        <w:ind w:left="2880" w:hanging="360"/>
      </w:pPr>
      <w:rPr>
        <w:rFonts w:ascii="Times New Roman" w:hAnsi="Times New Roman" w:hint="default"/>
      </w:rPr>
    </w:lvl>
    <w:lvl w:ilvl="4" w:tplc="4656AAB4" w:tentative="1">
      <w:start w:val="1"/>
      <w:numFmt w:val="bullet"/>
      <w:lvlText w:val="•"/>
      <w:lvlJc w:val="left"/>
      <w:pPr>
        <w:tabs>
          <w:tab w:val="num" w:pos="3600"/>
        </w:tabs>
        <w:ind w:left="3600" w:hanging="360"/>
      </w:pPr>
      <w:rPr>
        <w:rFonts w:ascii="Times New Roman" w:hAnsi="Times New Roman" w:hint="default"/>
      </w:rPr>
    </w:lvl>
    <w:lvl w:ilvl="5" w:tplc="55343972" w:tentative="1">
      <w:start w:val="1"/>
      <w:numFmt w:val="bullet"/>
      <w:lvlText w:val="•"/>
      <w:lvlJc w:val="left"/>
      <w:pPr>
        <w:tabs>
          <w:tab w:val="num" w:pos="4320"/>
        </w:tabs>
        <w:ind w:left="4320" w:hanging="360"/>
      </w:pPr>
      <w:rPr>
        <w:rFonts w:ascii="Times New Roman" w:hAnsi="Times New Roman" w:hint="default"/>
      </w:rPr>
    </w:lvl>
    <w:lvl w:ilvl="6" w:tplc="2834A044" w:tentative="1">
      <w:start w:val="1"/>
      <w:numFmt w:val="bullet"/>
      <w:lvlText w:val="•"/>
      <w:lvlJc w:val="left"/>
      <w:pPr>
        <w:tabs>
          <w:tab w:val="num" w:pos="5040"/>
        </w:tabs>
        <w:ind w:left="5040" w:hanging="360"/>
      </w:pPr>
      <w:rPr>
        <w:rFonts w:ascii="Times New Roman" w:hAnsi="Times New Roman" w:hint="default"/>
      </w:rPr>
    </w:lvl>
    <w:lvl w:ilvl="7" w:tplc="FC68BF9E" w:tentative="1">
      <w:start w:val="1"/>
      <w:numFmt w:val="bullet"/>
      <w:lvlText w:val="•"/>
      <w:lvlJc w:val="left"/>
      <w:pPr>
        <w:tabs>
          <w:tab w:val="num" w:pos="5760"/>
        </w:tabs>
        <w:ind w:left="5760" w:hanging="360"/>
      </w:pPr>
      <w:rPr>
        <w:rFonts w:ascii="Times New Roman" w:hAnsi="Times New Roman" w:hint="default"/>
      </w:rPr>
    </w:lvl>
    <w:lvl w:ilvl="8" w:tplc="9C8E660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DE65A4"/>
    <w:multiLevelType w:val="hybridMultilevel"/>
    <w:tmpl w:val="0F406D7A"/>
    <w:lvl w:ilvl="0" w:tplc="5B0EB3E8">
      <w:start w:val="1"/>
      <w:numFmt w:val="bullet"/>
      <w:lvlText w:val="•"/>
      <w:lvlJc w:val="left"/>
      <w:pPr>
        <w:tabs>
          <w:tab w:val="num" w:pos="720"/>
        </w:tabs>
        <w:ind w:left="720" w:hanging="360"/>
      </w:pPr>
      <w:rPr>
        <w:rFonts w:ascii="Times New Roman" w:hAnsi="Times New Roman" w:hint="default"/>
      </w:rPr>
    </w:lvl>
    <w:lvl w:ilvl="1" w:tplc="60BED9B0" w:tentative="1">
      <w:start w:val="1"/>
      <w:numFmt w:val="bullet"/>
      <w:lvlText w:val="•"/>
      <w:lvlJc w:val="left"/>
      <w:pPr>
        <w:tabs>
          <w:tab w:val="num" w:pos="1440"/>
        </w:tabs>
        <w:ind w:left="1440" w:hanging="360"/>
      </w:pPr>
      <w:rPr>
        <w:rFonts w:ascii="Times New Roman" w:hAnsi="Times New Roman" w:hint="default"/>
      </w:rPr>
    </w:lvl>
    <w:lvl w:ilvl="2" w:tplc="EC6CA20E" w:tentative="1">
      <w:start w:val="1"/>
      <w:numFmt w:val="bullet"/>
      <w:lvlText w:val="•"/>
      <w:lvlJc w:val="left"/>
      <w:pPr>
        <w:tabs>
          <w:tab w:val="num" w:pos="2160"/>
        </w:tabs>
        <w:ind w:left="2160" w:hanging="360"/>
      </w:pPr>
      <w:rPr>
        <w:rFonts w:ascii="Times New Roman" w:hAnsi="Times New Roman" w:hint="default"/>
      </w:rPr>
    </w:lvl>
    <w:lvl w:ilvl="3" w:tplc="9CF4C03A" w:tentative="1">
      <w:start w:val="1"/>
      <w:numFmt w:val="bullet"/>
      <w:lvlText w:val="•"/>
      <w:lvlJc w:val="left"/>
      <w:pPr>
        <w:tabs>
          <w:tab w:val="num" w:pos="2880"/>
        </w:tabs>
        <w:ind w:left="2880" w:hanging="360"/>
      </w:pPr>
      <w:rPr>
        <w:rFonts w:ascii="Times New Roman" w:hAnsi="Times New Roman" w:hint="default"/>
      </w:rPr>
    </w:lvl>
    <w:lvl w:ilvl="4" w:tplc="F9562550" w:tentative="1">
      <w:start w:val="1"/>
      <w:numFmt w:val="bullet"/>
      <w:lvlText w:val="•"/>
      <w:lvlJc w:val="left"/>
      <w:pPr>
        <w:tabs>
          <w:tab w:val="num" w:pos="3600"/>
        </w:tabs>
        <w:ind w:left="3600" w:hanging="360"/>
      </w:pPr>
      <w:rPr>
        <w:rFonts w:ascii="Times New Roman" w:hAnsi="Times New Roman" w:hint="default"/>
      </w:rPr>
    </w:lvl>
    <w:lvl w:ilvl="5" w:tplc="D7DCCAC6" w:tentative="1">
      <w:start w:val="1"/>
      <w:numFmt w:val="bullet"/>
      <w:lvlText w:val="•"/>
      <w:lvlJc w:val="left"/>
      <w:pPr>
        <w:tabs>
          <w:tab w:val="num" w:pos="4320"/>
        </w:tabs>
        <w:ind w:left="4320" w:hanging="360"/>
      </w:pPr>
      <w:rPr>
        <w:rFonts w:ascii="Times New Roman" w:hAnsi="Times New Roman" w:hint="default"/>
      </w:rPr>
    </w:lvl>
    <w:lvl w:ilvl="6" w:tplc="A67441DA" w:tentative="1">
      <w:start w:val="1"/>
      <w:numFmt w:val="bullet"/>
      <w:lvlText w:val="•"/>
      <w:lvlJc w:val="left"/>
      <w:pPr>
        <w:tabs>
          <w:tab w:val="num" w:pos="5040"/>
        </w:tabs>
        <w:ind w:left="5040" w:hanging="360"/>
      </w:pPr>
      <w:rPr>
        <w:rFonts w:ascii="Times New Roman" w:hAnsi="Times New Roman" w:hint="default"/>
      </w:rPr>
    </w:lvl>
    <w:lvl w:ilvl="7" w:tplc="A1D04B6E" w:tentative="1">
      <w:start w:val="1"/>
      <w:numFmt w:val="bullet"/>
      <w:lvlText w:val="•"/>
      <w:lvlJc w:val="left"/>
      <w:pPr>
        <w:tabs>
          <w:tab w:val="num" w:pos="5760"/>
        </w:tabs>
        <w:ind w:left="5760" w:hanging="360"/>
      </w:pPr>
      <w:rPr>
        <w:rFonts w:ascii="Times New Roman" w:hAnsi="Times New Roman" w:hint="default"/>
      </w:rPr>
    </w:lvl>
    <w:lvl w:ilvl="8" w:tplc="1A98A89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81B1205"/>
    <w:multiLevelType w:val="hybridMultilevel"/>
    <w:tmpl w:val="949A77AA"/>
    <w:lvl w:ilvl="0" w:tplc="8848DB0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89D0BEF"/>
    <w:multiLevelType w:val="hybridMultilevel"/>
    <w:tmpl w:val="091E39E4"/>
    <w:lvl w:ilvl="0" w:tplc="63227084">
      <w:start w:val="1"/>
      <w:numFmt w:val="bullet"/>
      <w:lvlText w:val="•"/>
      <w:lvlJc w:val="left"/>
      <w:pPr>
        <w:tabs>
          <w:tab w:val="num" w:pos="720"/>
        </w:tabs>
        <w:ind w:left="720" w:hanging="360"/>
      </w:pPr>
      <w:rPr>
        <w:rFonts w:ascii="Times New Roman" w:hAnsi="Times New Roman" w:hint="default"/>
      </w:rPr>
    </w:lvl>
    <w:lvl w:ilvl="1" w:tplc="164474B6" w:tentative="1">
      <w:start w:val="1"/>
      <w:numFmt w:val="bullet"/>
      <w:lvlText w:val="•"/>
      <w:lvlJc w:val="left"/>
      <w:pPr>
        <w:tabs>
          <w:tab w:val="num" w:pos="1440"/>
        </w:tabs>
        <w:ind w:left="1440" w:hanging="360"/>
      </w:pPr>
      <w:rPr>
        <w:rFonts w:ascii="Times New Roman" w:hAnsi="Times New Roman" w:hint="default"/>
      </w:rPr>
    </w:lvl>
    <w:lvl w:ilvl="2" w:tplc="E95C01D0" w:tentative="1">
      <w:start w:val="1"/>
      <w:numFmt w:val="bullet"/>
      <w:lvlText w:val="•"/>
      <w:lvlJc w:val="left"/>
      <w:pPr>
        <w:tabs>
          <w:tab w:val="num" w:pos="2160"/>
        </w:tabs>
        <w:ind w:left="2160" w:hanging="360"/>
      </w:pPr>
      <w:rPr>
        <w:rFonts w:ascii="Times New Roman" w:hAnsi="Times New Roman" w:hint="default"/>
      </w:rPr>
    </w:lvl>
    <w:lvl w:ilvl="3" w:tplc="D18A2D94" w:tentative="1">
      <w:start w:val="1"/>
      <w:numFmt w:val="bullet"/>
      <w:lvlText w:val="•"/>
      <w:lvlJc w:val="left"/>
      <w:pPr>
        <w:tabs>
          <w:tab w:val="num" w:pos="2880"/>
        </w:tabs>
        <w:ind w:left="2880" w:hanging="360"/>
      </w:pPr>
      <w:rPr>
        <w:rFonts w:ascii="Times New Roman" w:hAnsi="Times New Roman" w:hint="default"/>
      </w:rPr>
    </w:lvl>
    <w:lvl w:ilvl="4" w:tplc="E5963622" w:tentative="1">
      <w:start w:val="1"/>
      <w:numFmt w:val="bullet"/>
      <w:lvlText w:val="•"/>
      <w:lvlJc w:val="left"/>
      <w:pPr>
        <w:tabs>
          <w:tab w:val="num" w:pos="3600"/>
        </w:tabs>
        <w:ind w:left="3600" w:hanging="360"/>
      </w:pPr>
      <w:rPr>
        <w:rFonts w:ascii="Times New Roman" w:hAnsi="Times New Roman" w:hint="default"/>
      </w:rPr>
    </w:lvl>
    <w:lvl w:ilvl="5" w:tplc="0EDC7194" w:tentative="1">
      <w:start w:val="1"/>
      <w:numFmt w:val="bullet"/>
      <w:lvlText w:val="•"/>
      <w:lvlJc w:val="left"/>
      <w:pPr>
        <w:tabs>
          <w:tab w:val="num" w:pos="4320"/>
        </w:tabs>
        <w:ind w:left="4320" w:hanging="360"/>
      </w:pPr>
      <w:rPr>
        <w:rFonts w:ascii="Times New Roman" w:hAnsi="Times New Roman" w:hint="default"/>
      </w:rPr>
    </w:lvl>
    <w:lvl w:ilvl="6" w:tplc="9B6AC7A6" w:tentative="1">
      <w:start w:val="1"/>
      <w:numFmt w:val="bullet"/>
      <w:lvlText w:val="•"/>
      <w:lvlJc w:val="left"/>
      <w:pPr>
        <w:tabs>
          <w:tab w:val="num" w:pos="5040"/>
        </w:tabs>
        <w:ind w:left="5040" w:hanging="360"/>
      </w:pPr>
      <w:rPr>
        <w:rFonts w:ascii="Times New Roman" w:hAnsi="Times New Roman" w:hint="default"/>
      </w:rPr>
    </w:lvl>
    <w:lvl w:ilvl="7" w:tplc="E26CFFD6" w:tentative="1">
      <w:start w:val="1"/>
      <w:numFmt w:val="bullet"/>
      <w:lvlText w:val="•"/>
      <w:lvlJc w:val="left"/>
      <w:pPr>
        <w:tabs>
          <w:tab w:val="num" w:pos="5760"/>
        </w:tabs>
        <w:ind w:left="5760" w:hanging="360"/>
      </w:pPr>
      <w:rPr>
        <w:rFonts w:ascii="Times New Roman" w:hAnsi="Times New Roman" w:hint="default"/>
      </w:rPr>
    </w:lvl>
    <w:lvl w:ilvl="8" w:tplc="5522501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E30453"/>
    <w:multiLevelType w:val="multilevel"/>
    <w:tmpl w:val="2164515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25" w15:restartNumberingAfterBreak="0">
    <w:nsid w:val="6CB119E3"/>
    <w:multiLevelType w:val="hybridMultilevel"/>
    <w:tmpl w:val="B11C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A281D"/>
    <w:multiLevelType w:val="hybridMultilevel"/>
    <w:tmpl w:val="A58469FE"/>
    <w:lvl w:ilvl="0" w:tplc="B344B93C">
      <w:start w:val="1"/>
      <w:numFmt w:val="decimal"/>
      <w:lvlText w:val="%1."/>
      <w:lvlJc w:val="left"/>
      <w:pPr>
        <w:ind w:left="720" w:hanging="360"/>
      </w:pPr>
      <w:rPr>
        <w:rFonts w:hint="default"/>
        <w:color w:val="0052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F29A8"/>
    <w:multiLevelType w:val="hybridMultilevel"/>
    <w:tmpl w:val="A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4433C"/>
    <w:multiLevelType w:val="hybridMultilevel"/>
    <w:tmpl w:val="EECEE7F2"/>
    <w:lvl w:ilvl="0" w:tplc="1676309E">
      <w:start w:val="1"/>
      <w:numFmt w:val="bullet"/>
      <w:lvlText w:val=""/>
      <w:lvlJc w:val="left"/>
      <w:pPr>
        <w:ind w:left="-1422" w:hanging="360"/>
      </w:pPr>
      <w:rPr>
        <w:rFonts w:ascii="Wingdings" w:hAnsi="Wingdings" w:hint="default"/>
        <w:color w:val="73AE57"/>
        <w:sz w:val="36"/>
        <w:szCs w:val="36"/>
      </w:rPr>
    </w:lvl>
    <w:lvl w:ilvl="1" w:tplc="08090003">
      <w:start w:val="1"/>
      <w:numFmt w:val="bullet"/>
      <w:lvlText w:val="o"/>
      <w:lvlJc w:val="left"/>
      <w:pPr>
        <w:ind w:left="-702" w:hanging="360"/>
      </w:pPr>
      <w:rPr>
        <w:rFonts w:ascii="Courier New" w:hAnsi="Courier New" w:cs="Courier New" w:hint="default"/>
      </w:rPr>
    </w:lvl>
    <w:lvl w:ilvl="2" w:tplc="08090005">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num w:numId="1">
    <w:abstractNumId w:val="26"/>
  </w:num>
  <w:num w:numId="2">
    <w:abstractNumId w:val="2"/>
  </w:num>
  <w:num w:numId="3">
    <w:abstractNumId w:val="27"/>
  </w:num>
  <w:num w:numId="4">
    <w:abstractNumId w:val="1"/>
  </w:num>
  <w:num w:numId="5">
    <w:abstractNumId w:val="16"/>
  </w:num>
  <w:num w:numId="6">
    <w:abstractNumId w:val="20"/>
  </w:num>
  <w:num w:numId="7">
    <w:abstractNumId w:val="9"/>
  </w:num>
  <w:num w:numId="8">
    <w:abstractNumId w:val="19"/>
  </w:num>
  <w:num w:numId="9">
    <w:abstractNumId w:val="4"/>
  </w:num>
  <w:num w:numId="10">
    <w:abstractNumId w:val="24"/>
  </w:num>
  <w:num w:numId="11">
    <w:abstractNumId w:val="12"/>
  </w:num>
  <w:num w:numId="12">
    <w:abstractNumId w:val="14"/>
  </w:num>
  <w:num w:numId="13">
    <w:abstractNumId w:val="0"/>
  </w:num>
  <w:num w:numId="14">
    <w:abstractNumId w:val="10"/>
  </w:num>
  <w:num w:numId="15">
    <w:abstractNumId w:val="17"/>
  </w:num>
  <w:num w:numId="16">
    <w:abstractNumId w:val="7"/>
  </w:num>
  <w:num w:numId="17">
    <w:abstractNumId w:val="6"/>
  </w:num>
  <w:num w:numId="18">
    <w:abstractNumId w:val="22"/>
  </w:num>
  <w:num w:numId="19">
    <w:abstractNumId w:val="11"/>
  </w:num>
  <w:num w:numId="20">
    <w:abstractNumId w:val="13"/>
  </w:num>
  <w:num w:numId="21">
    <w:abstractNumId w:val="8"/>
  </w:num>
  <w:num w:numId="22">
    <w:abstractNumId w:val="3"/>
  </w:num>
  <w:num w:numId="23">
    <w:abstractNumId w:val="18"/>
  </w:num>
  <w:num w:numId="24">
    <w:abstractNumId w:val="5"/>
  </w:num>
  <w:num w:numId="25">
    <w:abstractNumId w:val="28"/>
  </w:num>
  <w:num w:numId="26">
    <w:abstractNumId w:val="21"/>
  </w:num>
  <w:num w:numId="27">
    <w:abstractNumId w:val="23"/>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9B"/>
    <w:rsid w:val="000014E9"/>
    <w:rsid w:val="00007BF9"/>
    <w:rsid w:val="00012553"/>
    <w:rsid w:val="000125C9"/>
    <w:rsid w:val="00031CF1"/>
    <w:rsid w:val="00042CEA"/>
    <w:rsid w:val="00054B2E"/>
    <w:rsid w:val="000550F1"/>
    <w:rsid w:val="00056446"/>
    <w:rsid w:val="0006291C"/>
    <w:rsid w:val="000660AD"/>
    <w:rsid w:val="00071DF3"/>
    <w:rsid w:val="00072A0B"/>
    <w:rsid w:val="00073671"/>
    <w:rsid w:val="00081353"/>
    <w:rsid w:val="00083BD6"/>
    <w:rsid w:val="00091C51"/>
    <w:rsid w:val="00094C1E"/>
    <w:rsid w:val="0009569C"/>
    <w:rsid w:val="00095D40"/>
    <w:rsid w:val="000A67D8"/>
    <w:rsid w:val="000A75CE"/>
    <w:rsid w:val="000B45BC"/>
    <w:rsid w:val="000B4CD4"/>
    <w:rsid w:val="000B7816"/>
    <w:rsid w:val="000C1B24"/>
    <w:rsid w:val="000D2F9E"/>
    <w:rsid w:val="000E3066"/>
    <w:rsid w:val="000E5A88"/>
    <w:rsid w:val="000F14AC"/>
    <w:rsid w:val="00104568"/>
    <w:rsid w:val="0011785D"/>
    <w:rsid w:val="00121FBC"/>
    <w:rsid w:val="00126DC0"/>
    <w:rsid w:val="00130036"/>
    <w:rsid w:val="001327FF"/>
    <w:rsid w:val="0013322B"/>
    <w:rsid w:val="00135A0F"/>
    <w:rsid w:val="00137362"/>
    <w:rsid w:val="00137E1C"/>
    <w:rsid w:val="00142DCD"/>
    <w:rsid w:val="001460D0"/>
    <w:rsid w:val="00146FE0"/>
    <w:rsid w:val="001503BF"/>
    <w:rsid w:val="00154536"/>
    <w:rsid w:val="00157035"/>
    <w:rsid w:val="0015721A"/>
    <w:rsid w:val="001623AF"/>
    <w:rsid w:val="00172971"/>
    <w:rsid w:val="001766D0"/>
    <w:rsid w:val="00182A64"/>
    <w:rsid w:val="001863F2"/>
    <w:rsid w:val="00190076"/>
    <w:rsid w:val="00193F63"/>
    <w:rsid w:val="001941EC"/>
    <w:rsid w:val="001977DB"/>
    <w:rsid w:val="001A13D4"/>
    <w:rsid w:val="001A5A77"/>
    <w:rsid w:val="001A6809"/>
    <w:rsid w:val="001B7D32"/>
    <w:rsid w:val="001C0725"/>
    <w:rsid w:val="001C15EA"/>
    <w:rsid w:val="001D4F52"/>
    <w:rsid w:val="001E08EE"/>
    <w:rsid w:val="001E3B89"/>
    <w:rsid w:val="001E41CB"/>
    <w:rsid w:val="001E4D26"/>
    <w:rsid w:val="001E57F6"/>
    <w:rsid w:val="001F66A0"/>
    <w:rsid w:val="001F7ADC"/>
    <w:rsid w:val="00200F4D"/>
    <w:rsid w:val="002069D2"/>
    <w:rsid w:val="00210FB2"/>
    <w:rsid w:val="00210FFA"/>
    <w:rsid w:val="0021101A"/>
    <w:rsid w:val="002158EF"/>
    <w:rsid w:val="00216D6E"/>
    <w:rsid w:val="00221861"/>
    <w:rsid w:val="00235D8F"/>
    <w:rsid w:val="00247A17"/>
    <w:rsid w:val="00275497"/>
    <w:rsid w:val="00285ADC"/>
    <w:rsid w:val="00292897"/>
    <w:rsid w:val="002A0226"/>
    <w:rsid w:val="002A4389"/>
    <w:rsid w:val="002A56F3"/>
    <w:rsid w:val="002A5972"/>
    <w:rsid w:val="002A7743"/>
    <w:rsid w:val="002B2A6A"/>
    <w:rsid w:val="002C4E6F"/>
    <w:rsid w:val="002C5CA7"/>
    <w:rsid w:val="002D1104"/>
    <w:rsid w:val="002D3919"/>
    <w:rsid w:val="002D46D8"/>
    <w:rsid w:val="002D6F33"/>
    <w:rsid w:val="002D7BD2"/>
    <w:rsid w:val="002E0FAE"/>
    <w:rsid w:val="002E104C"/>
    <w:rsid w:val="002E1A16"/>
    <w:rsid w:val="002E5C0B"/>
    <w:rsid w:val="00300543"/>
    <w:rsid w:val="00302D4D"/>
    <w:rsid w:val="00320229"/>
    <w:rsid w:val="003243CD"/>
    <w:rsid w:val="00325BDB"/>
    <w:rsid w:val="003269BC"/>
    <w:rsid w:val="00327E78"/>
    <w:rsid w:val="003315E9"/>
    <w:rsid w:val="0034536F"/>
    <w:rsid w:val="0035298C"/>
    <w:rsid w:val="00360D95"/>
    <w:rsid w:val="0036297A"/>
    <w:rsid w:val="00366901"/>
    <w:rsid w:val="00367F96"/>
    <w:rsid w:val="00373A9A"/>
    <w:rsid w:val="0038658E"/>
    <w:rsid w:val="003867F4"/>
    <w:rsid w:val="0039504E"/>
    <w:rsid w:val="0039571B"/>
    <w:rsid w:val="003A40D8"/>
    <w:rsid w:val="003A4663"/>
    <w:rsid w:val="003A5113"/>
    <w:rsid w:val="003A544B"/>
    <w:rsid w:val="003A6FDF"/>
    <w:rsid w:val="003B4B67"/>
    <w:rsid w:val="003B769F"/>
    <w:rsid w:val="003C29A5"/>
    <w:rsid w:val="003C7C94"/>
    <w:rsid w:val="003D4F59"/>
    <w:rsid w:val="003E1C83"/>
    <w:rsid w:val="003F0637"/>
    <w:rsid w:val="003F1CD0"/>
    <w:rsid w:val="003F2B26"/>
    <w:rsid w:val="00401808"/>
    <w:rsid w:val="004044FE"/>
    <w:rsid w:val="004257A2"/>
    <w:rsid w:val="00427F18"/>
    <w:rsid w:val="004429DD"/>
    <w:rsid w:val="0045127D"/>
    <w:rsid w:val="00452943"/>
    <w:rsid w:val="00454502"/>
    <w:rsid w:val="00454BD7"/>
    <w:rsid w:val="00455873"/>
    <w:rsid w:val="00456576"/>
    <w:rsid w:val="00460F2F"/>
    <w:rsid w:val="0046414E"/>
    <w:rsid w:val="00466D85"/>
    <w:rsid w:val="004867D4"/>
    <w:rsid w:val="004A02C7"/>
    <w:rsid w:val="004A21E3"/>
    <w:rsid w:val="004A422A"/>
    <w:rsid w:val="004A67BC"/>
    <w:rsid w:val="004B606F"/>
    <w:rsid w:val="004C3C03"/>
    <w:rsid w:val="004C77DD"/>
    <w:rsid w:val="004D1DA1"/>
    <w:rsid w:val="004D41B4"/>
    <w:rsid w:val="004E31DF"/>
    <w:rsid w:val="005032FF"/>
    <w:rsid w:val="00522E7E"/>
    <w:rsid w:val="005276A0"/>
    <w:rsid w:val="00533DB1"/>
    <w:rsid w:val="00544E79"/>
    <w:rsid w:val="005453C5"/>
    <w:rsid w:val="00550F24"/>
    <w:rsid w:val="005525A5"/>
    <w:rsid w:val="005552C4"/>
    <w:rsid w:val="00564875"/>
    <w:rsid w:val="00574156"/>
    <w:rsid w:val="00574A27"/>
    <w:rsid w:val="005801FC"/>
    <w:rsid w:val="005830F0"/>
    <w:rsid w:val="005836C5"/>
    <w:rsid w:val="00585D25"/>
    <w:rsid w:val="00585EAF"/>
    <w:rsid w:val="0059122A"/>
    <w:rsid w:val="005A29B2"/>
    <w:rsid w:val="005A5724"/>
    <w:rsid w:val="005A614B"/>
    <w:rsid w:val="005A6A5D"/>
    <w:rsid w:val="005B587C"/>
    <w:rsid w:val="005D0013"/>
    <w:rsid w:val="005D0D4E"/>
    <w:rsid w:val="005D10C1"/>
    <w:rsid w:val="005D314A"/>
    <w:rsid w:val="005D49C1"/>
    <w:rsid w:val="005D6139"/>
    <w:rsid w:val="005E2C21"/>
    <w:rsid w:val="00605D3F"/>
    <w:rsid w:val="00606D08"/>
    <w:rsid w:val="00607A6F"/>
    <w:rsid w:val="00614745"/>
    <w:rsid w:val="00620F9B"/>
    <w:rsid w:val="00630BCC"/>
    <w:rsid w:val="00630C9C"/>
    <w:rsid w:val="006314BF"/>
    <w:rsid w:val="00634224"/>
    <w:rsid w:val="00637947"/>
    <w:rsid w:val="00642526"/>
    <w:rsid w:val="00650DB4"/>
    <w:rsid w:val="00651B48"/>
    <w:rsid w:val="00655B4B"/>
    <w:rsid w:val="006621C2"/>
    <w:rsid w:val="00663FCD"/>
    <w:rsid w:val="00667559"/>
    <w:rsid w:val="006702AF"/>
    <w:rsid w:val="00673B89"/>
    <w:rsid w:val="00675D16"/>
    <w:rsid w:val="006A151F"/>
    <w:rsid w:val="006A7D16"/>
    <w:rsid w:val="006B108F"/>
    <w:rsid w:val="006C0AA7"/>
    <w:rsid w:val="006C72AE"/>
    <w:rsid w:val="006D4A67"/>
    <w:rsid w:val="006D6031"/>
    <w:rsid w:val="006E04A5"/>
    <w:rsid w:val="006E3E2B"/>
    <w:rsid w:val="006E66FD"/>
    <w:rsid w:val="006F2BC1"/>
    <w:rsid w:val="0070070A"/>
    <w:rsid w:val="00703454"/>
    <w:rsid w:val="00730058"/>
    <w:rsid w:val="00734EC4"/>
    <w:rsid w:val="0073500D"/>
    <w:rsid w:val="00746447"/>
    <w:rsid w:val="00750336"/>
    <w:rsid w:val="00760F40"/>
    <w:rsid w:val="00763D50"/>
    <w:rsid w:val="00763F76"/>
    <w:rsid w:val="00765B99"/>
    <w:rsid w:val="00770E24"/>
    <w:rsid w:val="00774EB2"/>
    <w:rsid w:val="00777E06"/>
    <w:rsid w:val="007911BC"/>
    <w:rsid w:val="00796A7E"/>
    <w:rsid w:val="007A757C"/>
    <w:rsid w:val="007B7248"/>
    <w:rsid w:val="007B7D90"/>
    <w:rsid w:val="007D2860"/>
    <w:rsid w:val="007D699B"/>
    <w:rsid w:val="007D6F72"/>
    <w:rsid w:val="007E0F13"/>
    <w:rsid w:val="007E11BD"/>
    <w:rsid w:val="007E1A13"/>
    <w:rsid w:val="007E1D08"/>
    <w:rsid w:val="007E55D6"/>
    <w:rsid w:val="007E644B"/>
    <w:rsid w:val="00803AAE"/>
    <w:rsid w:val="008069E5"/>
    <w:rsid w:val="00807721"/>
    <w:rsid w:val="00812B5F"/>
    <w:rsid w:val="008169A8"/>
    <w:rsid w:val="00824CBD"/>
    <w:rsid w:val="00826C03"/>
    <w:rsid w:val="00833203"/>
    <w:rsid w:val="00833306"/>
    <w:rsid w:val="0083437D"/>
    <w:rsid w:val="008363E3"/>
    <w:rsid w:val="00846FEE"/>
    <w:rsid w:val="00853733"/>
    <w:rsid w:val="00856AE9"/>
    <w:rsid w:val="00864D57"/>
    <w:rsid w:val="00865B46"/>
    <w:rsid w:val="00866CA2"/>
    <w:rsid w:val="00870AFF"/>
    <w:rsid w:val="00876B46"/>
    <w:rsid w:val="00891C79"/>
    <w:rsid w:val="00892491"/>
    <w:rsid w:val="00897316"/>
    <w:rsid w:val="008B1629"/>
    <w:rsid w:val="008B2B39"/>
    <w:rsid w:val="008B7426"/>
    <w:rsid w:val="008B7D71"/>
    <w:rsid w:val="008C78AA"/>
    <w:rsid w:val="008D62CE"/>
    <w:rsid w:val="008E3408"/>
    <w:rsid w:val="008F05F3"/>
    <w:rsid w:val="008F27E8"/>
    <w:rsid w:val="008F38E0"/>
    <w:rsid w:val="009044D8"/>
    <w:rsid w:val="009056CF"/>
    <w:rsid w:val="00911E14"/>
    <w:rsid w:val="00913188"/>
    <w:rsid w:val="00917404"/>
    <w:rsid w:val="00917D8A"/>
    <w:rsid w:val="00920673"/>
    <w:rsid w:val="00920872"/>
    <w:rsid w:val="00924D1B"/>
    <w:rsid w:val="00926720"/>
    <w:rsid w:val="0092697B"/>
    <w:rsid w:val="009365EF"/>
    <w:rsid w:val="00936AB2"/>
    <w:rsid w:val="0094027E"/>
    <w:rsid w:val="00940B2E"/>
    <w:rsid w:val="00942D37"/>
    <w:rsid w:val="00946834"/>
    <w:rsid w:val="0095214D"/>
    <w:rsid w:val="00954324"/>
    <w:rsid w:val="00954FD7"/>
    <w:rsid w:val="0095659A"/>
    <w:rsid w:val="00964025"/>
    <w:rsid w:val="0096542A"/>
    <w:rsid w:val="009835F9"/>
    <w:rsid w:val="00987089"/>
    <w:rsid w:val="009A1127"/>
    <w:rsid w:val="009A2784"/>
    <w:rsid w:val="009A76A4"/>
    <w:rsid w:val="009D1700"/>
    <w:rsid w:val="009D4347"/>
    <w:rsid w:val="009D4860"/>
    <w:rsid w:val="009D5886"/>
    <w:rsid w:val="009D6666"/>
    <w:rsid w:val="009E4DB3"/>
    <w:rsid w:val="009E6433"/>
    <w:rsid w:val="00A077FF"/>
    <w:rsid w:val="00A10345"/>
    <w:rsid w:val="00A12FD4"/>
    <w:rsid w:val="00A21773"/>
    <w:rsid w:val="00A23A2D"/>
    <w:rsid w:val="00A25EF6"/>
    <w:rsid w:val="00A3606B"/>
    <w:rsid w:val="00A366A5"/>
    <w:rsid w:val="00A36B88"/>
    <w:rsid w:val="00A40550"/>
    <w:rsid w:val="00A408B7"/>
    <w:rsid w:val="00A40E87"/>
    <w:rsid w:val="00A421D4"/>
    <w:rsid w:val="00A43C9D"/>
    <w:rsid w:val="00A44845"/>
    <w:rsid w:val="00A50187"/>
    <w:rsid w:val="00A53224"/>
    <w:rsid w:val="00A53FCF"/>
    <w:rsid w:val="00A54EBE"/>
    <w:rsid w:val="00A639BF"/>
    <w:rsid w:val="00A66E3D"/>
    <w:rsid w:val="00A72E5B"/>
    <w:rsid w:val="00A73386"/>
    <w:rsid w:val="00A733B2"/>
    <w:rsid w:val="00A76AC5"/>
    <w:rsid w:val="00A80B3E"/>
    <w:rsid w:val="00A81046"/>
    <w:rsid w:val="00A92B6F"/>
    <w:rsid w:val="00A95F20"/>
    <w:rsid w:val="00AA2B0A"/>
    <w:rsid w:val="00AA6C5A"/>
    <w:rsid w:val="00AA7409"/>
    <w:rsid w:val="00AB723D"/>
    <w:rsid w:val="00AC6C6A"/>
    <w:rsid w:val="00AE1D46"/>
    <w:rsid w:val="00AE52E1"/>
    <w:rsid w:val="00AF3040"/>
    <w:rsid w:val="00AF45CD"/>
    <w:rsid w:val="00B0409C"/>
    <w:rsid w:val="00B2097D"/>
    <w:rsid w:val="00B2304B"/>
    <w:rsid w:val="00B26D96"/>
    <w:rsid w:val="00B30D59"/>
    <w:rsid w:val="00B34361"/>
    <w:rsid w:val="00B3784D"/>
    <w:rsid w:val="00B410FC"/>
    <w:rsid w:val="00B41518"/>
    <w:rsid w:val="00B47B19"/>
    <w:rsid w:val="00B55B5B"/>
    <w:rsid w:val="00B60407"/>
    <w:rsid w:val="00B71408"/>
    <w:rsid w:val="00B734AF"/>
    <w:rsid w:val="00B804DC"/>
    <w:rsid w:val="00B82F7D"/>
    <w:rsid w:val="00B8367C"/>
    <w:rsid w:val="00B84B71"/>
    <w:rsid w:val="00B87FC8"/>
    <w:rsid w:val="00B90A73"/>
    <w:rsid w:val="00B92746"/>
    <w:rsid w:val="00B95F9F"/>
    <w:rsid w:val="00BA6702"/>
    <w:rsid w:val="00BA7C9F"/>
    <w:rsid w:val="00BB0598"/>
    <w:rsid w:val="00BC1D49"/>
    <w:rsid w:val="00BC2BB2"/>
    <w:rsid w:val="00BC4BEC"/>
    <w:rsid w:val="00BC6C59"/>
    <w:rsid w:val="00BC6C61"/>
    <w:rsid w:val="00BC76C0"/>
    <w:rsid w:val="00BE3F81"/>
    <w:rsid w:val="00BE649D"/>
    <w:rsid w:val="00C02364"/>
    <w:rsid w:val="00C0279C"/>
    <w:rsid w:val="00C05B2C"/>
    <w:rsid w:val="00C115FC"/>
    <w:rsid w:val="00C11D9E"/>
    <w:rsid w:val="00C1242B"/>
    <w:rsid w:val="00C247F1"/>
    <w:rsid w:val="00C24D3B"/>
    <w:rsid w:val="00C24E1C"/>
    <w:rsid w:val="00C2664A"/>
    <w:rsid w:val="00C405FA"/>
    <w:rsid w:val="00C47D92"/>
    <w:rsid w:val="00C53E8B"/>
    <w:rsid w:val="00C541CA"/>
    <w:rsid w:val="00C55CE3"/>
    <w:rsid w:val="00C55F7A"/>
    <w:rsid w:val="00C625B1"/>
    <w:rsid w:val="00C71704"/>
    <w:rsid w:val="00C74373"/>
    <w:rsid w:val="00C81B96"/>
    <w:rsid w:val="00C8291D"/>
    <w:rsid w:val="00C82F3B"/>
    <w:rsid w:val="00C85036"/>
    <w:rsid w:val="00C86100"/>
    <w:rsid w:val="00C86315"/>
    <w:rsid w:val="00C90616"/>
    <w:rsid w:val="00C95670"/>
    <w:rsid w:val="00CA0359"/>
    <w:rsid w:val="00CA1A93"/>
    <w:rsid w:val="00CA611A"/>
    <w:rsid w:val="00CC5345"/>
    <w:rsid w:val="00CC722A"/>
    <w:rsid w:val="00CD3415"/>
    <w:rsid w:val="00CD44A6"/>
    <w:rsid w:val="00CE14FD"/>
    <w:rsid w:val="00CE17D6"/>
    <w:rsid w:val="00CE6CCE"/>
    <w:rsid w:val="00CF0EEC"/>
    <w:rsid w:val="00CF39DC"/>
    <w:rsid w:val="00D00F7C"/>
    <w:rsid w:val="00D01C87"/>
    <w:rsid w:val="00D01DEB"/>
    <w:rsid w:val="00D0227D"/>
    <w:rsid w:val="00D06488"/>
    <w:rsid w:val="00D10D00"/>
    <w:rsid w:val="00D128F2"/>
    <w:rsid w:val="00D200E1"/>
    <w:rsid w:val="00D20A80"/>
    <w:rsid w:val="00D274AE"/>
    <w:rsid w:val="00D2791A"/>
    <w:rsid w:val="00D30324"/>
    <w:rsid w:val="00D341AD"/>
    <w:rsid w:val="00D51408"/>
    <w:rsid w:val="00D52002"/>
    <w:rsid w:val="00D57B81"/>
    <w:rsid w:val="00D71130"/>
    <w:rsid w:val="00D7226E"/>
    <w:rsid w:val="00D74F24"/>
    <w:rsid w:val="00D8062A"/>
    <w:rsid w:val="00D81687"/>
    <w:rsid w:val="00DA06A1"/>
    <w:rsid w:val="00DA58A8"/>
    <w:rsid w:val="00DB0289"/>
    <w:rsid w:val="00DB7F49"/>
    <w:rsid w:val="00DC3C8A"/>
    <w:rsid w:val="00DC64D4"/>
    <w:rsid w:val="00DE7890"/>
    <w:rsid w:val="00DF0A6E"/>
    <w:rsid w:val="00DF4F07"/>
    <w:rsid w:val="00E01C43"/>
    <w:rsid w:val="00E04874"/>
    <w:rsid w:val="00E05319"/>
    <w:rsid w:val="00E11233"/>
    <w:rsid w:val="00E112AE"/>
    <w:rsid w:val="00E249B0"/>
    <w:rsid w:val="00E31CE2"/>
    <w:rsid w:val="00E35B66"/>
    <w:rsid w:val="00E44B65"/>
    <w:rsid w:val="00E44FCE"/>
    <w:rsid w:val="00E54ADD"/>
    <w:rsid w:val="00E5608D"/>
    <w:rsid w:val="00E66B51"/>
    <w:rsid w:val="00E85EFF"/>
    <w:rsid w:val="00E8615D"/>
    <w:rsid w:val="00E91D9D"/>
    <w:rsid w:val="00E96125"/>
    <w:rsid w:val="00EA7708"/>
    <w:rsid w:val="00EB6139"/>
    <w:rsid w:val="00EC61C2"/>
    <w:rsid w:val="00ED354D"/>
    <w:rsid w:val="00EE4CBF"/>
    <w:rsid w:val="00EF4B5C"/>
    <w:rsid w:val="00EF7466"/>
    <w:rsid w:val="00F01F08"/>
    <w:rsid w:val="00F0643D"/>
    <w:rsid w:val="00F1562C"/>
    <w:rsid w:val="00F16F15"/>
    <w:rsid w:val="00F17F83"/>
    <w:rsid w:val="00F30190"/>
    <w:rsid w:val="00F312AD"/>
    <w:rsid w:val="00F351B3"/>
    <w:rsid w:val="00F37B07"/>
    <w:rsid w:val="00F46073"/>
    <w:rsid w:val="00F5099D"/>
    <w:rsid w:val="00F61786"/>
    <w:rsid w:val="00F625E9"/>
    <w:rsid w:val="00F66D9C"/>
    <w:rsid w:val="00F67578"/>
    <w:rsid w:val="00F7327A"/>
    <w:rsid w:val="00F75EAD"/>
    <w:rsid w:val="00F838B7"/>
    <w:rsid w:val="00F853F0"/>
    <w:rsid w:val="00F92AF8"/>
    <w:rsid w:val="00F93D74"/>
    <w:rsid w:val="00F963A2"/>
    <w:rsid w:val="00FA0570"/>
    <w:rsid w:val="00FA064E"/>
    <w:rsid w:val="00FA19A0"/>
    <w:rsid w:val="00FA7ADE"/>
    <w:rsid w:val="00FC4208"/>
    <w:rsid w:val="00FC4C72"/>
    <w:rsid w:val="00FC5148"/>
    <w:rsid w:val="00FC6AB1"/>
    <w:rsid w:val="00FD165C"/>
    <w:rsid w:val="00FD6765"/>
    <w:rsid w:val="00FD72EB"/>
    <w:rsid w:val="00FE18BB"/>
    <w:rsid w:val="00FF0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6CA7E4"/>
  <w15:docId w15:val="{CE553780-F4A5-4FBE-8B79-D7482FB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550"/>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D52002"/>
    <w:pPr>
      <w:keepNext/>
      <w:keepLines/>
      <w:spacing w:before="200"/>
      <w:outlineLvl w:val="0"/>
    </w:pPr>
    <w:rPr>
      <w:rFonts w:eastAsiaTheme="majorEastAsia" w:cstheme="majorBidi"/>
      <w:b/>
      <w:color w:val="00526F"/>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semiHidden/>
    <w:unhideWhenUsed/>
    <w:rsid w:val="00D06488"/>
    <w:rPr>
      <w:sz w:val="20"/>
    </w:rPr>
  </w:style>
  <w:style w:type="character" w:customStyle="1" w:styleId="CommentTextChar">
    <w:name w:val="Comment Text Char"/>
    <w:basedOn w:val="DefaultParagraphFont"/>
    <w:link w:val="CommentText"/>
    <w:uiPriority w:val="99"/>
    <w:semiHidden/>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2002"/>
    <w:rPr>
      <w:rFonts w:ascii="Arial" w:eastAsiaTheme="majorEastAsia" w:hAnsi="Arial" w:cstheme="majorBidi"/>
      <w:b/>
      <w:color w:val="00526F"/>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styleId="FootnoteText">
    <w:name w:val="footnote text"/>
    <w:basedOn w:val="Normal"/>
    <w:link w:val="FootnoteTextChar"/>
    <w:unhideWhenUsed/>
    <w:rsid w:val="001F7ADC"/>
    <w:pPr>
      <w:overflowPunct/>
      <w:autoSpaceDE/>
      <w:autoSpaceDN/>
      <w:adjustRightInd/>
      <w:spacing w:before="60" w:after="0" w:line="240" w:lineRule="auto"/>
      <w:jc w:val="both"/>
      <w:textAlignment w:val="auto"/>
    </w:pPr>
    <w:rPr>
      <w:rFonts w:ascii="Calibri" w:eastAsia="Calibri" w:hAnsi="Calibri" w:cs="Arial"/>
      <w:sz w:val="20"/>
    </w:rPr>
  </w:style>
  <w:style w:type="character" w:customStyle="1" w:styleId="FootnoteTextChar">
    <w:name w:val="Footnote Text Char"/>
    <w:basedOn w:val="DefaultParagraphFont"/>
    <w:link w:val="FootnoteText"/>
    <w:rsid w:val="001F7ADC"/>
    <w:rPr>
      <w:rFonts w:ascii="Calibri" w:eastAsia="Calibri" w:hAnsi="Calibri" w:cs="Arial"/>
    </w:rPr>
  </w:style>
  <w:style w:type="character" w:styleId="FootnoteReference">
    <w:name w:val="footnote reference"/>
    <w:semiHidden/>
    <w:unhideWhenUsed/>
    <w:rsid w:val="001F7ADC"/>
    <w:rPr>
      <w:vertAlign w:val="superscript"/>
    </w:rPr>
  </w:style>
  <w:style w:type="paragraph" w:styleId="TOC1">
    <w:name w:val="toc 1"/>
    <w:basedOn w:val="Normal"/>
    <w:next w:val="Normal"/>
    <w:autoRedefine/>
    <w:uiPriority w:val="39"/>
    <w:unhideWhenUsed/>
    <w:qFormat/>
    <w:rsid w:val="001F7ADC"/>
    <w:pPr>
      <w:tabs>
        <w:tab w:val="left" w:pos="709"/>
        <w:tab w:val="right" w:leader="dot" w:pos="8302"/>
      </w:tabs>
      <w:overflowPunct/>
      <w:autoSpaceDE/>
      <w:autoSpaceDN/>
      <w:adjustRightInd/>
      <w:spacing w:before="240" w:after="0" w:line="240" w:lineRule="auto"/>
      <w:ind w:left="709" w:hanging="709"/>
      <w:jc w:val="both"/>
      <w:textAlignment w:val="auto"/>
    </w:pPr>
    <w:rPr>
      <w:rFonts w:ascii="Arial Bold" w:eastAsia="Calibri" w:hAnsi="Arial Bold" w:cs="Arial"/>
      <w:b/>
      <w:noProof/>
      <w:color w:val="4F81BD"/>
      <w:sz w:val="22"/>
      <w:szCs w:val="22"/>
    </w:rPr>
  </w:style>
  <w:style w:type="paragraph" w:styleId="TOC2">
    <w:name w:val="toc 2"/>
    <w:basedOn w:val="Normal"/>
    <w:next w:val="Normal"/>
    <w:autoRedefine/>
    <w:uiPriority w:val="39"/>
    <w:unhideWhenUsed/>
    <w:qFormat/>
    <w:rsid w:val="001F7ADC"/>
    <w:pPr>
      <w:tabs>
        <w:tab w:val="left" w:pos="1276"/>
        <w:tab w:val="right" w:leader="dot" w:pos="8302"/>
      </w:tabs>
      <w:overflowPunct/>
      <w:autoSpaceDE/>
      <w:autoSpaceDN/>
      <w:adjustRightInd/>
      <w:spacing w:before="60" w:after="100" w:line="240" w:lineRule="auto"/>
      <w:ind w:left="1389" w:hanging="709"/>
      <w:textAlignment w:val="auto"/>
    </w:pPr>
    <w:rPr>
      <w:rFonts w:ascii="Calibri" w:eastAsia="Calibri" w:hAnsi="Calibri" w:cs="Arial"/>
      <w:b/>
      <w:noProof/>
      <w:sz w:val="22"/>
      <w:szCs w:val="22"/>
    </w:rPr>
  </w:style>
  <w:style w:type="paragraph" w:customStyle="1" w:styleId="SEPAMainHeading">
    <w:name w:val="SEPA Main Heading"/>
    <w:basedOn w:val="Normal"/>
    <w:qFormat/>
    <w:rsid w:val="001F7ADC"/>
    <w:pPr>
      <w:overflowPunct/>
      <w:autoSpaceDE/>
      <w:autoSpaceDN/>
      <w:adjustRightInd/>
      <w:spacing w:before="240" w:after="240" w:line="240" w:lineRule="auto"/>
      <w:jc w:val="both"/>
      <w:textAlignment w:val="auto"/>
    </w:pPr>
    <w:rPr>
      <w:rFonts w:ascii="Calibri" w:eastAsia="Cambria" w:hAnsi="Calibri" w:cs="Arial"/>
      <w:b/>
      <w:sz w:val="28"/>
      <w:szCs w:val="24"/>
      <w:lang w:val="en-US"/>
    </w:rPr>
  </w:style>
  <w:style w:type="paragraph" w:styleId="Subtitle">
    <w:name w:val="Subtitle"/>
    <w:basedOn w:val="Normal"/>
    <w:next w:val="Normal"/>
    <w:link w:val="SubtitleChar"/>
    <w:uiPriority w:val="11"/>
    <w:qFormat/>
    <w:rsid w:val="001F7ADC"/>
    <w:pPr>
      <w:keepNext/>
      <w:overflowPunct/>
      <w:autoSpaceDE/>
      <w:autoSpaceDN/>
      <w:adjustRightInd/>
      <w:spacing w:before="360" w:after="240" w:line="240" w:lineRule="auto"/>
      <w:jc w:val="both"/>
      <w:textAlignment w:val="auto"/>
    </w:pPr>
    <w:rPr>
      <w:rFonts w:ascii="Calibri" w:eastAsia="Calibri" w:hAnsi="Calibri" w:cs="Arial"/>
      <w:b/>
      <w:color w:val="365F91"/>
      <w:sz w:val="22"/>
      <w:szCs w:val="22"/>
      <w:lang w:val="en"/>
    </w:rPr>
  </w:style>
  <w:style w:type="character" w:customStyle="1" w:styleId="SubtitleChar">
    <w:name w:val="Subtitle Char"/>
    <w:basedOn w:val="DefaultParagraphFont"/>
    <w:link w:val="Subtitle"/>
    <w:uiPriority w:val="11"/>
    <w:rsid w:val="001F7ADC"/>
    <w:rPr>
      <w:rFonts w:ascii="Calibri" w:eastAsia="Calibri" w:hAnsi="Calibri" w:cs="Arial"/>
      <w:b/>
      <w:color w:val="365F91"/>
      <w:sz w:val="22"/>
      <w:szCs w:val="22"/>
      <w:lang w:val="en"/>
    </w:rPr>
  </w:style>
  <w:style w:type="paragraph" w:styleId="TOC3">
    <w:name w:val="toc 3"/>
    <w:basedOn w:val="Normal"/>
    <w:next w:val="Normal"/>
    <w:autoRedefine/>
    <w:uiPriority w:val="39"/>
    <w:unhideWhenUsed/>
    <w:rsid w:val="00EB613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pa.org.uk/environment/waste/waste-data/waste-data-reporting/waste-data-for-scotland/" TargetMode="External"/><Relationship Id="rId18" Type="http://schemas.openxmlformats.org/officeDocument/2006/relationships/hyperlink" Target="http://contactscotland-bsl.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equalities@sepa.org.uk" TargetMode="External"/><Relationship Id="rId2" Type="http://schemas.openxmlformats.org/officeDocument/2006/relationships/numbering" Target="numbering.xml"/><Relationship Id="rId16" Type="http://schemas.openxmlformats.org/officeDocument/2006/relationships/hyperlink" Target="http://eur-lex.europa.eu/LexUriServ/LexUriServ.do?uri=OJ:L:2010:253:0002:0041: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epa.org.uk/contact/contact-us-via-email/" TargetMode="External"/><Relationship Id="rId23"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hyperlink" Target="http://www.sep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nvironment.scotland.gov.uk/get-interactive/data/waste-from-all-sourc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pa.org.uk/environment/waste/waste-data/guidance-and-forms-for-operators/licensed-and-permitted-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EE8C-6B20-42A5-A690-AD1B0687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SEPA</dc:creator>
  <cp:lastModifiedBy>Bryce, Lorna</cp:lastModifiedBy>
  <cp:revision>8</cp:revision>
  <cp:lastPrinted>2020-09-28T13:50:00Z</cp:lastPrinted>
  <dcterms:created xsi:type="dcterms:W3CDTF">2020-09-28T08:24:00Z</dcterms:created>
  <dcterms:modified xsi:type="dcterms:W3CDTF">2020-09-28T13:50:00Z</dcterms:modified>
</cp:coreProperties>
</file>