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91923907"/>
        <w:docPartObj>
          <w:docPartGallery w:val="Cover Pages"/>
          <w:docPartUnique/>
        </w:docPartObj>
      </w:sdtPr>
      <w:sdtContent>
        <w:p w14:paraId="1207524D" w14:textId="59070411" w:rsidR="004073BC" w:rsidRDefault="00F72274" w:rsidP="00F72274">
          <w:r>
            <w:rPr>
              <w:noProof/>
            </w:rPr>
            <w:drawing>
              <wp:anchor distT="0" distB="0" distL="114300" distR="114300" simplePos="0" relativeHeight="251658241" behindDoc="1" locked="0" layoutInCell="1" allowOverlap="1" wp14:anchorId="7D33EC4B" wp14:editId="6787867D">
                <wp:simplePos x="0" y="0"/>
                <wp:positionH relativeFrom="page">
                  <wp:posOffset>12700</wp:posOffset>
                </wp:positionH>
                <wp:positionV relativeFrom="paragraph">
                  <wp:posOffset>-831850</wp:posOffset>
                </wp:positionV>
                <wp:extent cx="7559040" cy="10957330"/>
                <wp:effectExtent l="0" t="0" r="381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1603" cy="10961045"/>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65E5337E" wp14:editId="1024FEAB">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49211A00" w14:textId="77777777" w:rsidR="004073BC" w:rsidRDefault="004073BC" w:rsidP="008C1A73"/>
        <w:p w14:paraId="19D5766A" w14:textId="1D94A461" w:rsidR="004073BC" w:rsidRDefault="004073BC" w:rsidP="008C1A73"/>
        <w:p w14:paraId="433D4B13" w14:textId="6F3274A0" w:rsidR="00801105" w:rsidRPr="000049E1" w:rsidRDefault="00281BB1" w:rsidP="55A138D1">
          <w:pPr>
            <w:pStyle w:val="Title"/>
          </w:pPr>
          <w:r w:rsidRPr="000049E1">
            <w:rPr>
              <w:rFonts w:cs="Arial"/>
              <w:b/>
              <w:bCs/>
              <w:noProof/>
              <w:color w:val="FFFFFF" w:themeColor="background1"/>
              <w:szCs w:val="84"/>
            </w:rPr>
            <mc:AlternateContent>
              <mc:Choice Requires="wps">
                <w:drawing>
                  <wp:anchor distT="0" distB="0" distL="114300" distR="114300" simplePos="0" relativeHeight="251658240" behindDoc="0" locked="1" layoutInCell="1" allowOverlap="1" wp14:anchorId="545BE8CB" wp14:editId="2E4E3A6A">
                    <wp:simplePos x="0" y="0"/>
                    <wp:positionH relativeFrom="column">
                      <wp:posOffset>-139065</wp:posOffset>
                    </wp:positionH>
                    <wp:positionV relativeFrom="paragraph">
                      <wp:posOffset>7414895</wp:posOffset>
                    </wp:positionV>
                    <wp:extent cx="4352925" cy="273685"/>
                    <wp:effectExtent l="0" t="0" r="9525" b="12065"/>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52925" cy="273685"/>
                            </a:xfrm>
                            <a:prstGeom prst="rect">
                              <a:avLst/>
                            </a:prstGeom>
                            <a:noFill/>
                            <a:ln w="6350">
                              <a:noFill/>
                            </a:ln>
                          </wps:spPr>
                          <wps:txbx>
                            <w:txbxContent>
                              <w:p w14:paraId="2E3EDCA2" w14:textId="6AF7892C" w:rsidR="00281BB1" w:rsidRPr="009A240D" w:rsidRDefault="00880A6F" w:rsidP="00281BB1">
                                <w:pPr>
                                  <w:pStyle w:val="BodyText1"/>
                                  <w:rPr>
                                    <w:color w:val="FFFFFF" w:themeColor="background1"/>
                                  </w:rPr>
                                </w:pPr>
                                <w:r>
                                  <w:rPr>
                                    <w:color w:val="FFFFFF" w:themeColor="background1"/>
                                  </w:rPr>
                                  <w:t>September 2023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5BE8CB" id="_x0000_t202" coordsize="21600,21600" o:spt="202" path="m,l,21600r21600,l21600,xe">
                    <v:stroke joinstyle="miter"/>
                    <v:path gradientshapeok="t" o:connecttype="rect"/>
                  </v:shapetype>
                  <v:shape id="Text Box 3" o:spid="_x0000_s1026" type="#_x0000_t202" alt="&quot;&quot;" style="position:absolute;margin-left:-10.95pt;margin-top:583.85pt;width:342.75pt;height:2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" filled="f" stroked="f" strokeweight=".5pt">
                    <v:textbox inset="0,0,0,0">
                      <w:txbxContent>
                        <w:p w14:paraId="2E3EDCA2" w14:textId="6AF7892C" w:rsidR="00281BB1" w:rsidRPr="009A240D" w:rsidRDefault="00880A6F" w:rsidP="00281BB1">
                          <w:pPr>
                            <w:pStyle w:val="BodyText1"/>
                            <w:rPr>
                              <w:color w:val="FFFFFF" w:themeColor="background1"/>
                            </w:rPr>
                          </w:pPr>
                          <w:r>
                            <w:rPr>
                              <w:color w:val="FFFFFF" w:themeColor="background1"/>
                            </w:rPr>
                            <w:t>September 2023</w:t>
                          </w:r>
                        </w:p>
                      </w:txbxContent>
                    </v:textbox>
                    <w10:anchorlock/>
                  </v:shape>
                </w:pict>
              </mc:Fallback>
            </mc:AlternateContent>
          </w:r>
          <w:r w:rsidR="09F06662" w:rsidRPr="55A138D1">
            <w:rPr>
              <w:rFonts w:cs="Arial"/>
              <w:b/>
              <w:bCs/>
              <w:color w:val="FFFFFF" w:themeColor="background1"/>
            </w:rPr>
            <w:t xml:space="preserve">Antimicrobial </w:t>
          </w:r>
          <w:r w:rsidR="5BF619AC" w:rsidRPr="55A138D1">
            <w:rPr>
              <w:rFonts w:cs="Arial"/>
              <w:b/>
              <w:bCs/>
              <w:color w:val="FFFFFF" w:themeColor="background1"/>
            </w:rPr>
            <w:t>r</w:t>
          </w:r>
          <w:r w:rsidR="09F06662" w:rsidRPr="55A138D1">
            <w:rPr>
              <w:rFonts w:cs="Arial"/>
              <w:b/>
              <w:bCs/>
              <w:color w:val="FFFFFF" w:themeColor="background1"/>
            </w:rPr>
            <w:t xml:space="preserve">esistance (AMR) in the </w:t>
          </w:r>
          <w:r w:rsidR="3956F874" w:rsidRPr="55A138D1">
            <w:rPr>
              <w:rFonts w:cs="Arial"/>
              <w:b/>
              <w:bCs/>
              <w:color w:val="FFFFFF" w:themeColor="background1"/>
            </w:rPr>
            <w:t>e</w:t>
          </w:r>
          <w:r w:rsidR="09F06662" w:rsidRPr="55A138D1">
            <w:rPr>
              <w:rFonts w:cs="Arial"/>
              <w:b/>
              <w:bCs/>
              <w:color w:val="FFFFFF" w:themeColor="background1"/>
            </w:rPr>
            <w:t xml:space="preserve">nvironment </w:t>
          </w:r>
        </w:p>
        <w:p w14:paraId="0BB64EC3" w14:textId="70BBA0AE" w:rsidR="00801105" w:rsidRPr="000049E1" w:rsidRDefault="00801105" w:rsidP="55A138D1">
          <w:pPr>
            <w:pStyle w:val="Title"/>
            <w:rPr>
              <w:rFonts w:cs="Arial"/>
              <w:b/>
              <w:bCs/>
              <w:color w:val="FFFFFF" w:themeColor="background1"/>
            </w:rPr>
          </w:pPr>
        </w:p>
        <w:p w14:paraId="2FB3ABFC" w14:textId="14206A13" w:rsidR="00801105" w:rsidRPr="000049E1" w:rsidRDefault="0F34C0EF" w:rsidP="55A138D1">
          <w:pPr>
            <w:pStyle w:val="Title"/>
          </w:pPr>
          <w:r w:rsidRPr="46D4A434">
            <w:rPr>
              <w:rFonts w:cs="Arial"/>
              <w:b/>
              <w:bCs/>
              <w:color w:val="FFFFFF" w:themeColor="background1"/>
            </w:rPr>
            <w:t>SEPA Information Note</w:t>
          </w:r>
        </w:p>
        <w:p w14:paraId="345AE388" w14:textId="77BABD1F" w:rsidR="008C1A73" w:rsidRPr="00CF7EFB" w:rsidRDefault="008C1A73" w:rsidP="00CF7EFB">
          <w:pPr>
            <w:rPr>
              <w:b/>
              <w:bCs/>
              <w:color w:val="FFFFFF" w:themeColor="background1"/>
              <w:sz w:val="84"/>
              <w:szCs w:val="84"/>
            </w:rPr>
          </w:pPr>
          <w:r>
            <w:br w:type="page"/>
          </w:r>
        </w:p>
      </w:sdtContent>
    </w:sdt>
    <w:p w14:paraId="0192BC2D" w14:textId="69D1E812" w:rsidR="00236552" w:rsidRPr="00B83213" w:rsidRDefault="04EA44D7" w:rsidP="7534CFBF">
      <w:pPr>
        <w:pStyle w:val="Heading1"/>
      </w:pPr>
      <w:r>
        <w:lastRenderedPageBreak/>
        <w:t xml:space="preserve">The silent pandemic of </w:t>
      </w:r>
      <w:r w:rsidR="7C258A60">
        <w:t>a</w:t>
      </w:r>
      <w:r>
        <w:t xml:space="preserve">ntimicrobial </w:t>
      </w:r>
      <w:r w:rsidR="1ADE781D">
        <w:t>r</w:t>
      </w:r>
      <w:r>
        <w:t>esistance</w:t>
      </w:r>
    </w:p>
    <w:p w14:paraId="443CD54E" w14:textId="6CCFEBB2" w:rsidR="00566AF8" w:rsidRDefault="7F62A16B" w:rsidP="008079BB">
      <w:pPr>
        <w:widowControl w:val="0"/>
        <w:spacing w:after="0"/>
        <w:rPr>
          <w:rFonts w:ascii="Arial" w:eastAsia="Arial" w:hAnsi="Arial" w:cs="Arial"/>
        </w:rPr>
      </w:pPr>
      <w:r w:rsidRPr="7F3CBF1D">
        <w:rPr>
          <w:rFonts w:ascii="Arial" w:eastAsia="Arial" w:hAnsi="Arial" w:cs="Arial"/>
        </w:rPr>
        <w:t xml:space="preserve">Antimicrobials (including antibacterials (of which antibiotics are a sub-group), antivirals, antifungals, and </w:t>
      </w:r>
      <w:proofErr w:type="spellStart"/>
      <w:r w:rsidRPr="7F3CBF1D">
        <w:rPr>
          <w:rFonts w:ascii="Arial" w:eastAsia="Arial" w:hAnsi="Arial" w:cs="Arial"/>
        </w:rPr>
        <w:t>antiparasitics</w:t>
      </w:r>
      <w:proofErr w:type="spellEnd"/>
      <w:r w:rsidRPr="7F3CBF1D">
        <w:rPr>
          <w:rFonts w:ascii="Arial" w:eastAsia="Arial" w:hAnsi="Arial" w:cs="Arial"/>
        </w:rPr>
        <w:t xml:space="preserve">) are medicines that are </w:t>
      </w:r>
      <w:r w:rsidR="6A2AE37B" w:rsidRPr="7F3CBF1D">
        <w:rPr>
          <w:rFonts w:ascii="Arial" w:eastAsia="Arial" w:hAnsi="Arial" w:cs="Arial"/>
        </w:rPr>
        <w:t xml:space="preserve">used </w:t>
      </w:r>
      <w:r w:rsidRPr="7F3CBF1D">
        <w:rPr>
          <w:rFonts w:ascii="Arial" w:eastAsia="Arial" w:hAnsi="Arial" w:cs="Arial"/>
        </w:rPr>
        <w:t xml:space="preserve">widely to prevent and treat infections in humans, animals, and plants. Other pharmaceuticals and many other chemicals (such as </w:t>
      </w:r>
      <w:r w:rsidR="28AB37C3" w:rsidRPr="7F3CBF1D">
        <w:rPr>
          <w:rFonts w:ascii="Arial" w:eastAsia="Arial" w:hAnsi="Arial" w:cs="Arial"/>
        </w:rPr>
        <w:t xml:space="preserve">heavy </w:t>
      </w:r>
      <w:r w:rsidR="1A32AFF3" w:rsidRPr="7F3CBF1D">
        <w:rPr>
          <w:rFonts w:ascii="Arial" w:eastAsia="Arial" w:hAnsi="Arial" w:cs="Arial"/>
        </w:rPr>
        <w:t xml:space="preserve">metals, </w:t>
      </w:r>
      <w:proofErr w:type="gramStart"/>
      <w:r w:rsidRPr="7F3CBF1D">
        <w:rPr>
          <w:rFonts w:ascii="Arial" w:eastAsia="Arial" w:hAnsi="Arial" w:cs="Arial"/>
        </w:rPr>
        <w:t>fungicides</w:t>
      </w:r>
      <w:proofErr w:type="gramEnd"/>
      <w:r w:rsidRPr="7F3CBF1D">
        <w:rPr>
          <w:rFonts w:ascii="Arial" w:eastAsia="Arial" w:hAnsi="Arial" w:cs="Arial"/>
        </w:rPr>
        <w:t xml:space="preserve"> and herbicides) also have antimicrobial</w:t>
      </w:r>
      <w:r w:rsidR="00F228C0">
        <w:rPr>
          <w:rFonts w:ascii="Arial" w:eastAsia="Arial" w:hAnsi="Arial" w:cs="Arial"/>
        </w:rPr>
        <w:t xml:space="preserve"> </w:t>
      </w:r>
      <w:r w:rsidRPr="7F3CBF1D">
        <w:rPr>
          <w:rFonts w:ascii="Arial" w:eastAsia="Arial" w:hAnsi="Arial" w:cs="Arial"/>
        </w:rPr>
        <w:t>properties. </w:t>
      </w:r>
      <w:r w:rsidRPr="7F3CBF1D">
        <w:rPr>
          <w:rFonts w:ascii="Times New Roman" w:eastAsia="Times New Roman" w:hAnsi="Times New Roman" w:cs="Times New Roman"/>
        </w:rPr>
        <w:t xml:space="preserve"> </w:t>
      </w:r>
      <w:r w:rsidRPr="7F3CBF1D">
        <w:rPr>
          <w:rFonts w:ascii="Arial" w:eastAsia="Arial" w:hAnsi="Arial" w:cs="Arial"/>
        </w:rPr>
        <w:t xml:space="preserve">Antimicrobial </w:t>
      </w:r>
      <w:r w:rsidR="199BD58C" w:rsidRPr="7F3CBF1D">
        <w:rPr>
          <w:rFonts w:ascii="Arial" w:eastAsia="Arial" w:hAnsi="Arial" w:cs="Arial"/>
        </w:rPr>
        <w:t>r</w:t>
      </w:r>
      <w:r w:rsidRPr="7F3CBF1D">
        <w:rPr>
          <w:rFonts w:ascii="Arial" w:eastAsia="Arial" w:hAnsi="Arial" w:cs="Arial"/>
        </w:rPr>
        <w:t>esistance (AMR) occurs when bacteria, viruses, fungi, and parasites change and no longer respond to antimicrobial treatment. Coupled with limited production of new antimicrobials, infections can be more difficult to treat</w:t>
      </w:r>
      <w:r w:rsidR="639BD44D" w:rsidRPr="7F3CBF1D">
        <w:rPr>
          <w:rFonts w:ascii="Arial" w:eastAsia="Arial" w:hAnsi="Arial" w:cs="Arial"/>
        </w:rPr>
        <w:t>,</w:t>
      </w:r>
      <w:r w:rsidRPr="7F3CBF1D">
        <w:rPr>
          <w:rFonts w:ascii="Arial" w:eastAsia="Arial" w:hAnsi="Arial" w:cs="Arial"/>
        </w:rPr>
        <w:t xml:space="preserve"> with an increasing risk of disease spread, severe illness and death.</w:t>
      </w:r>
      <w:r w:rsidRPr="7F3CBF1D">
        <w:rPr>
          <w:rFonts w:ascii="Times New Roman" w:eastAsia="Times New Roman" w:hAnsi="Times New Roman" w:cs="Times New Roman"/>
        </w:rPr>
        <w:t xml:space="preserve"> </w:t>
      </w:r>
      <w:r w:rsidRPr="7F3CBF1D">
        <w:rPr>
          <w:rFonts w:ascii="Arial" w:eastAsia="Arial" w:hAnsi="Arial" w:cs="Arial"/>
        </w:rPr>
        <w:t>Whilst AMR has occurred naturally for millennia, the misuse and overuse of antimicrobials in humans, animals, and agriculture in some parts of the world is accelerating the production of clinically important resistant microbes</w:t>
      </w:r>
      <w:r w:rsidR="00A646FB">
        <w:rPr>
          <w:rStyle w:val="FootnoteReference"/>
          <w:rFonts w:ascii="Arial" w:eastAsia="Arial" w:hAnsi="Arial" w:cs="Arial"/>
        </w:rPr>
        <w:footnoteReference w:id="2"/>
      </w:r>
      <w:r w:rsidRPr="7F3CBF1D">
        <w:rPr>
          <w:rFonts w:ascii="Arial" w:eastAsia="Arial" w:hAnsi="Arial" w:cs="Arial"/>
        </w:rPr>
        <w:t>. Antibiotic resistant bacteria are routinely found in the digestive tracts of humans and animals and in environmental media, such as water, sewage, soil, and air. Resistant microbes and genes can subsequently spread and be transmitted to humans, food, animals, plants, and wildlife posing a significant and increasing threat</w:t>
      </w:r>
      <w:r w:rsidR="4214230E" w:rsidRPr="7F3CBF1D">
        <w:rPr>
          <w:rFonts w:ascii="Arial" w:eastAsia="Arial" w:hAnsi="Arial" w:cs="Arial"/>
        </w:rPr>
        <w:t xml:space="preserve"> to them</w:t>
      </w:r>
      <w:r w:rsidRPr="7F3CBF1D">
        <w:rPr>
          <w:rFonts w:ascii="Arial" w:eastAsia="Arial" w:hAnsi="Arial" w:cs="Arial"/>
        </w:rPr>
        <w:t>.</w:t>
      </w:r>
    </w:p>
    <w:p w14:paraId="061E9CAC" w14:textId="77777777" w:rsidR="00E543C6" w:rsidRDefault="00E543C6" w:rsidP="008079BB">
      <w:pPr>
        <w:widowControl w:val="0"/>
        <w:spacing w:after="0"/>
        <w:rPr>
          <w:rFonts w:ascii="Arial" w:eastAsia="Arial" w:hAnsi="Arial" w:cs="Arial"/>
        </w:rPr>
      </w:pPr>
    </w:p>
    <w:p w14:paraId="622AFA07" w14:textId="0B27649D" w:rsidR="00D86883" w:rsidRPr="00297A90" w:rsidRDefault="00D86883" w:rsidP="008079BB">
      <w:pPr>
        <w:widowControl w:val="0"/>
        <w:spacing w:after="0"/>
        <w:rPr>
          <w:rFonts w:ascii="Arial" w:hAnsi="Arial" w:cs="Arial"/>
          <w:bCs/>
        </w:rPr>
      </w:pPr>
      <w:r w:rsidRPr="00297A90">
        <w:rPr>
          <w:rFonts w:ascii="Arial" w:hAnsi="Arial" w:cs="Arial"/>
          <w:bCs/>
        </w:rPr>
        <w:t>AMR has emerged as one of the leading human health threats of the 21st century. A review on AMR commissioned by the UK Government predicts that AMR could cause the death of 10 million people per year by 2050</w:t>
      </w:r>
      <w:r w:rsidR="005955D9" w:rsidRPr="00297A90">
        <w:rPr>
          <w:rStyle w:val="FootnoteReference"/>
          <w:rFonts w:ascii="Arial" w:hAnsi="Arial" w:cs="Arial"/>
          <w:bCs/>
        </w:rPr>
        <w:footnoteReference w:id="3"/>
      </w:r>
      <w:r w:rsidRPr="00297A90">
        <w:rPr>
          <w:rFonts w:ascii="Arial" w:hAnsi="Arial" w:cs="Arial"/>
          <w:bCs/>
        </w:rPr>
        <w:t>. Research published in the Lancet</w:t>
      </w:r>
      <w:r w:rsidR="00976AB4" w:rsidRPr="00297A90">
        <w:rPr>
          <w:rStyle w:val="FootnoteReference"/>
          <w:rFonts w:ascii="Arial" w:hAnsi="Arial" w:cs="Arial"/>
          <w:bCs/>
        </w:rPr>
        <w:footnoteReference w:id="4"/>
      </w:r>
      <w:r w:rsidRPr="00297A90">
        <w:rPr>
          <w:rFonts w:ascii="Arial" w:hAnsi="Arial" w:cs="Arial"/>
          <w:bCs/>
        </w:rPr>
        <w:t xml:space="preserve"> estimated that in 2019, 4.95 million deaths were associated with bacterial AMR worldwide, including 1.27 million which were directly attributable</w:t>
      </w:r>
      <w:r w:rsidR="00871E17" w:rsidRPr="00297A90">
        <w:rPr>
          <w:rFonts w:ascii="Arial" w:hAnsi="Arial" w:cs="Arial"/>
          <w:bCs/>
        </w:rPr>
        <w:t xml:space="preserve"> to it</w:t>
      </w:r>
      <w:r w:rsidRPr="00297A90">
        <w:rPr>
          <w:rFonts w:ascii="Arial" w:hAnsi="Arial" w:cs="Arial"/>
          <w:bCs/>
        </w:rPr>
        <w:t>. AMR also presents a significant threat to animal health, food security, economic development, and equity. AMR is a massive global challenge, on a par with the triple planetary crises of climate change, biodiversity loss and pollution (and is exacerbated by them and needs to be considered in</w:t>
      </w:r>
      <w:r w:rsidR="005F005A" w:rsidRPr="00297A90">
        <w:rPr>
          <w:rFonts w:ascii="Arial" w:hAnsi="Arial" w:cs="Arial"/>
          <w:bCs/>
        </w:rPr>
        <w:t xml:space="preserve"> </w:t>
      </w:r>
      <w:r w:rsidR="00A8534D" w:rsidRPr="00297A90">
        <w:rPr>
          <w:rFonts w:ascii="Arial" w:hAnsi="Arial" w:cs="Arial"/>
          <w:bCs/>
        </w:rPr>
        <w:t>c</w:t>
      </w:r>
      <w:r w:rsidRPr="00297A90">
        <w:rPr>
          <w:rFonts w:ascii="Arial" w:hAnsi="Arial" w:cs="Arial"/>
          <w:bCs/>
        </w:rPr>
        <w:t>onjunction with them), and tackling it effectively requires increased and concerted effort</w:t>
      </w:r>
      <w:r w:rsidR="00902D13" w:rsidRPr="00297A90">
        <w:rPr>
          <w:rFonts w:ascii="Arial" w:hAnsi="Arial" w:cs="Arial"/>
          <w:bCs/>
        </w:rPr>
        <w:t xml:space="preserve"> </w:t>
      </w:r>
      <w:r w:rsidR="003949C1" w:rsidRPr="00297A90">
        <w:rPr>
          <w:rFonts w:ascii="Arial" w:hAnsi="Arial" w:cs="Arial"/>
          <w:bCs/>
        </w:rPr>
        <w:t>a</w:t>
      </w:r>
      <w:r w:rsidRPr="00297A90">
        <w:rPr>
          <w:rFonts w:ascii="Arial" w:hAnsi="Arial" w:cs="Arial"/>
          <w:bCs/>
        </w:rPr>
        <w:t xml:space="preserve">t global, national, and regional levels using a One </w:t>
      </w:r>
      <w:r w:rsidRPr="00297A90">
        <w:rPr>
          <w:rFonts w:ascii="Arial" w:hAnsi="Arial" w:cs="Arial"/>
          <w:bCs/>
        </w:rPr>
        <w:lastRenderedPageBreak/>
        <w:t>Health</w:t>
      </w:r>
      <w:r w:rsidR="00976AB4" w:rsidRPr="00297A90">
        <w:rPr>
          <w:rStyle w:val="FootnoteReference"/>
          <w:rFonts w:ascii="Arial" w:hAnsi="Arial" w:cs="Arial"/>
          <w:bCs/>
        </w:rPr>
        <w:footnoteReference w:id="5"/>
      </w:r>
      <w:r w:rsidR="19A3C5C7" w:rsidRPr="00297A90">
        <w:rPr>
          <w:rFonts w:ascii="Arial" w:hAnsi="Arial" w:cs="Arial"/>
          <w:bCs/>
          <w:vertAlign w:val="superscript"/>
        </w:rPr>
        <w:t>,</w:t>
      </w:r>
      <w:r w:rsidR="00CF5996" w:rsidRPr="00297A90">
        <w:rPr>
          <w:rStyle w:val="FootnoteReference"/>
          <w:rFonts w:ascii="Arial" w:hAnsi="Arial" w:cs="Arial"/>
          <w:bCs/>
        </w:rPr>
        <w:footnoteReference w:id="6"/>
      </w:r>
      <w:r w:rsidR="00976AB4" w:rsidRPr="00297A90">
        <w:rPr>
          <w:rFonts w:ascii="Arial" w:hAnsi="Arial" w:cs="Arial"/>
          <w:bCs/>
        </w:rPr>
        <w:t xml:space="preserve"> </w:t>
      </w:r>
      <w:r w:rsidRPr="00297A90">
        <w:rPr>
          <w:rFonts w:ascii="Arial" w:hAnsi="Arial" w:cs="Arial"/>
          <w:bCs/>
        </w:rPr>
        <w:t>approach.</w:t>
      </w:r>
    </w:p>
    <w:p w14:paraId="1F6AC041" w14:textId="77777777" w:rsidR="00B16845" w:rsidRPr="00107515" w:rsidRDefault="00B16845" w:rsidP="00B16845">
      <w:pPr>
        <w:spacing w:after="0"/>
        <w:rPr>
          <w:rFonts w:ascii="Arial" w:hAnsi="Arial" w:cs="Arial"/>
          <w:b/>
        </w:rPr>
      </w:pPr>
    </w:p>
    <w:p w14:paraId="5518C15E" w14:textId="3750CE19" w:rsidR="00F64D8C" w:rsidRDefault="7B59E190" w:rsidP="03061417">
      <w:pPr>
        <w:spacing w:after="0"/>
        <w:rPr>
          <w:rFonts w:ascii="Arial" w:eastAsia="Arial" w:hAnsi="Arial" w:cs="Arial"/>
        </w:rPr>
      </w:pPr>
      <w:r w:rsidRPr="55A138D1">
        <w:rPr>
          <w:rFonts w:ascii="Arial" w:eastAsia="Arial" w:hAnsi="Arial" w:cs="Arial"/>
        </w:rPr>
        <w:t xml:space="preserve">The environment plays an important role in the spread (selection, dissemination and transmission) of </w:t>
      </w:r>
      <w:proofErr w:type="gramStart"/>
      <w:r w:rsidRPr="55A138D1">
        <w:rPr>
          <w:rFonts w:ascii="Arial" w:eastAsia="Arial" w:hAnsi="Arial" w:cs="Arial"/>
        </w:rPr>
        <w:t>AMR</w:t>
      </w:r>
      <w:proofErr w:type="gramEnd"/>
      <w:r w:rsidRPr="55A138D1">
        <w:rPr>
          <w:rFonts w:ascii="Arial" w:eastAsia="Arial" w:hAnsi="Arial" w:cs="Arial"/>
        </w:rPr>
        <w:t xml:space="preserve"> and this has implications for plant, animal and human health</w:t>
      </w:r>
      <w:r w:rsidR="00D35448" w:rsidRPr="55A138D1">
        <w:rPr>
          <w:rStyle w:val="FootnoteReference"/>
          <w:rFonts w:ascii="Arial" w:eastAsia="Arial" w:hAnsi="Arial" w:cs="Arial"/>
        </w:rPr>
        <w:footnoteReference w:id="7"/>
      </w:r>
      <w:r w:rsidR="54B6585A" w:rsidRPr="70D4B1FE">
        <w:rPr>
          <w:rStyle w:val="FootnoteReference"/>
          <w:rFonts w:ascii="Arial" w:eastAsia="Arial" w:hAnsi="Arial" w:cs="Arial"/>
        </w:rPr>
        <w:t>,</w:t>
      </w:r>
      <w:r w:rsidR="00A5514F">
        <w:rPr>
          <w:rStyle w:val="FootnoteReference"/>
          <w:rFonts w:ascii="Arial" w:eastAsia="Arial" w:hAnsi="Arial" w:cs="Arial"/>
        </w:rPr>
        <w:footnoteReference w:id="8"/>
      </w:r>
      <w:r w:rsidRPr="55A138D1">
        <w:rPr>
          <w:rFonts w:ascii="Arial" w:eastAsia="Arial" w:hAnsi="Arial" w:cs="Arial"/>
        </w:rPr>
        <w:t xml:space="preserve">. There are various sectors and activities that SEPA regulates that have the potential to exacerbate the spread of AMR </w:t>
      </w:r>
      <w:r w:rsidR="63360507" w:rsidRPr="55A138D1">
        <w:rPr>
          <w:rFonts w:ascii="Arial" w:eastAsia="Arial" w:hAnsi="Arial" w:cs="Arial"/>
        </w:rPr>
        <w:t>through</w:t>
      </w:r>
      <w:r w:rsidRPr="55A138D1">
        <w:rPr>
          <w:rFonts w:ascii="Arial" w:eastAsia="Arial" w:hAnsi="Arial" w:cs="Arial"/>
        </w:rPr>
        <w:t xml:space="preserve"> the environment (see figure appended).</w:t>
      </w:r>
      <w:r w:rsidRPr="55A138D1">
        <w:rPr>
          <w:rFonts w:ascii="Calibri" w:eastAsia="Calibri" w:hAnsi="Calibri" w:cs="Calibri"/>
          <w:sz w:val="22"/>
          <w:szCs w:val="22"/>
        </w:rPr>
        <w:t xml:space="preserve"> </w:t>
      </w:r>
      <w:r w:rsidRPr="55A138D1">
        <w:rPr>
          <w:rFonts w:ascii="Arial" w:eastAsia="Arial" w:hAnsi="Arial" w:cs="Arial"/>
        </w:rPr>
        <w:t>For example, wastewater treatment, healthcare facilities, animal farming and crop production are all known sources and pathways for the spread of AMR through the environment. There are many pollutants in the environment (such as heavy metals and biocides) that are known to cause or exacerbate AMR through a process known as co-selection</w:t>
      </w:r>
      <w:r w:rsidR="00081C88">
        <w:rPr>
          <w:rStyle w:val="FootnoteReference"/>
          <w:rFonts w:ascii="Arial" w:eastAsia="Arial" w:hAnsi="Arial" w:cs="Arial"/>
        </w:rPr>
        <w:footnoteReference w:id="9"/>
      </w:r>
      <w:r w:rsidRPr="55A138D1">
        <w:rPr>
          <w:rFonts w:ascii="Arial" w:eastAsia="Arial" w:hAnsi="Arial" w:cs="Arial"/>
        </w:rPr>
        <w:t xml:space="preserve">.  </w:t>
      </w:r>
    </w:p>
    <w:p w14:paraId="250D6471" w14:textId="084FA8E4" w:rsidR="03061417" w:rsidRDefault="03061417" w:rsidP="03061417">
      <w:pPr>
        <w:spacing w:after="0"/>
        <w:rPr>
          <w:rFonts w:ascii="Arial" w:eastAsia="Arial" w:hAnsi="Arial" w:cs="Arial"/>
        </w:rPr>
      </w:pPr>
    </w:p>
    <w:p w14:paraId="6E1828BF" w14:textId="03AF2EA0" w:rsidR="00236552" w:rsidRDefault="476C1E8A" w:rsidP="00BD0042">
      <w:pPr>
        <w:spacing w:after="0"/>
        <w:rPr>
          <w:rFonts w:ascii="Arial" w:eastAsia="Arial" w:hAnsi="Arial" w:cs="Arial"/>
          <w:color w:val="000000"/>
        </w:rPr>
      </w:pPr>
      <w:r w:rsidRPr="03061417">
        <w:rPr>
          <w:rFonts w:ascii="Arial" w:eastAsia="Arial" w:hAnsi="Arial" w:cs="Arial"/>
        </w:rPr>
        <w:t>Wastewater</w:t>
      </w:r>
      <w:r w:rsidRPr="03061417">
        <w:rPr>
          <w:rFonts w:ascii="Arial" w:eastAsia="Arial" w:hAnsi="Arial" w:cs="Arial"/>
          <w:color w:val="000000"/>
        </w:rPr>
        <w:t xml:space="preserve"> treatment works (WWTWs) can act as ‘hotspots’, where antimicrobials and AMR genes and microbes meet, resulting in the selection of resistant genes and their subsequent release to the water environment. Chemical contaminants in wastewater can also drive selection for AMR microbes in WWTWs. Organic biosolids (sludge) from human wastewater treatment and animal slurries and manures can harbour resistance genes and the soil environment (to which they are often applied) can act as a pathway for AMR transmission through the environment and then potentially back to humans.</w:t>
      </w:r>
    </w:p>
    <w:p w14:paraId="3CC3A2D6" w14:textId="77777777" w:rsidR="006D69D5" w:rsidRPr="00B83213" w:rsidRDefault="006D69D5" w:rsidP="00BD0042">
      <w:pPr>
        <w:spacing w:after="0"/>
      </w:pPr>
    </w:p>
    <w:p w14:paraId="59D17969" w14:textId="4D7E623E" w:rsidR="00236552" w:rsidRPr="00B83213" w:rsidRDefault="6BDF936B" w:rsidP="7534CFBF">
      <w:pPr>
        <w:pStyle w:val="Heading1"/>
        <w:spacing w:line="360" w:lineRule="auto"/>
        <w:jc w:val="both"/>
      </w:pPr>
      <w:r w:rsidRPr="7534CFBF">
        <w:t>Scotland and UK action on AMR</w:t>
      </w:r>
    </w:p>
    <w:p w14:paraId="31CD1078" w14:textId="0E76DC56" w:rsidR="00236552" w:rsidRPr="00B83213" w:rsidRDefault="476C1E8A" w:rsidP="00EC3E93">
      <w:pPr>
        <w:rPr>
          <w:rFonts w:ascii="Arial" w:eastAsia="Arial" w:hAnsi="Arial" w:cs="Arial"/>
        </w:rPr>
      </w:pPr>
      <w:r w:rsidRPr="55A138D1">
        <w:rPr>
          <w:rFonts w:ascii="Arial" w:eastAsia="Arial" w:hAnsi="Arial" w:cs="Arial"/>
        </w:rPr>
        <w:t>The Scottish Government</w:t>
      </w:r>
      <w:r w:rsidR="00D35448" w:rsidRPr="55A138D1">
        <w:rPr>
          <w:rStyle w:val="FootnoteReference"/>
          <w:rFonts w:ascii="Arial" w:eastAsia="Arial" w:hAnsi="Arial" w:cs="Arial"/>
        </w:rPr>
        <w:footnoteReference w:id="10"/>
      </w:r>
      <w:r w:rsidRPr="55A138D1">
        <w:rPr>
          <w:rFonts w:ascii="Arial" w:eastAsia="Arial" w:hAnsi="Arial" w:cs="Arial"/>
        </w:rPr>
        <w:t xml:space="preserve"> is committed to contributing to the delivery of the UK National AMR Action Plan 2019-2024</w:t>
      </w:r>
      <w:r w:rsidR="00D35448" w:rsidRPr="55A138D1">
        <w:rPr>
          <w:rStyle w:val="FootnoteReference"/>
          <w:rFonts w:ascii="Arial" w:eastAsia="Arial" w:hAnsi="Arial" w:cs="Arial"/>
        </w:rPr>
        <w:footnoteReference w:id="11"/>
      </w:r>
      <w:r w:rsidRPr="55A138D1">
        <w:rPr>
          <w:rFonts w:ascii="Arial" w:eastAsia="Arial" w:hAnsi="Arial" w:cs="Arial"/>
        </w:rPr>
        <w:t xml:space="preserve"> (NAP). The NAP recognises the need to develop an improved evidence base on AMR including identifying and assessing the sources, pathways, and </w:t>
      </w:r>
      <w:r w:rsidRPr="55A138D1">
        <w:rPr>
          <w:rFonts w:ascii="Arial" w:eastAsia="Arial" w:hAnsi="Arial" w:cs="Arial"/>
        </w:rPr>
        <w:lastRenderedPageBreak/>
        <w:t xml:space="preserve">exposure risks to people, animals, and ecosystems. Some of this evidence is being gathered through surveillance of AMR in the environment. </w:t>
      </w:r>
      <w:r w:rsidR="00A5297A" w:rsidRPr="002C41A4">
        <w:rPr>
          <w:rFonts w:ascii="Arial" w:eastAsia="Arial" w:hAnsi="Arial" w:cs="Arial"/>
        </w:rPr>
        <w:t xml:space="preserve">The plan also requires </w:t>
      </w:r>
      <w:r w:rsidR="00A5297A">
        <w:rPr>
          <w:rFonts w:ascii="Arial" w:eastAsia="Arial" w:hAnsi="Arial" w:cs="Arial"/>
        </w:rPr>
        <w:t xml:space="preserve">that </w:t>
      </w:r>
      <w:r w:rsidR="00A5297A" w:rsidRPr="002C41A4">
        <w:rPr>
          <w:rFonts w:ascii="Arial" w:eastAsia="Arial" w:hAnsi="Arial" w:cs="Arial"/>
        </w:rPr>
        <w:t>our regulatory system</w:t>
      </w:r>
      <w:r w:rsidR="00A5297A">
        <w:rPr>
          <w:rFonts w:ascii="Arial" w:eastAsia="Arial" w:hAnsi="Arial" w:cs="Arial"/>
        </w:rPr>
        <w:t xml:space="preserve"> for the water environment is kept up to date in response to scientific developments</w:t>
      </w:r>
      <w:r w:rsidR="002A0AF4">
        <w:rPr>
          <w:rFonts w:ascii="Arial" w:eastAsia="Arial" w:hAnsi="Arial" w:cs="Arial"/>
        </w:rPr>
        <w:t xml:space="preserve"> in environmental standards. </w:t>
      </w:r>
    </w:p>
    <w:p w14:paraId="06E6BD67" w14:textId="391320A0" w:rsidR="00236552" w:rsidRPr="00B83213" w:rsidRDefault="7B59E190" w:rsidP="00C3338E">
      <w:pPr>
        <w:rPr>
          <w:rFonts w:ascii="Arial" w:eastAsia="Arial" w:hAnsi="Arial" w:cs="Arial"/>
        </w:rPr>
      </w:pPr>
      <w:r w:rsidRPr="6B43C000">
        <w:rPr>
          <w:rFonts w:ascii="Arial" w:eastAsia="Arial" w:hAnsi="Arial" w:cs="Arial"/>
        </w:rPr>
        <w:t xml:space="preserve">The following three </w:t>
      </w:r>
      <w:r w:rsidR="67C615FC" w:rsidRPr="6B43C000">
        <w:rPr>
          <w:rFonts w:ascii="Arial" w:eastAsia="Arial" w:hAnsi="Arial" w:cs="Arial"/>
        </w:rPr>
        <w:t xml:space="preserve">NAP policy commitments provide the </w:t>
      </w:r>
      <w:r w:rsidR="6A6E127F" w:rsidRPr="6B43C000">
        <w:rPr>
          <w:rFonts w:ascii="Arial" w:eastAsia="Arial" w:hAnsi="Arial" w:cs="Arial"/>
        </w:rPr>
        <w:t>focus</w:t>
      </w:r>
      <w:r w:rsidRPr="6B43C000">
        <w:rPr>
          <w:rFonts w:ascii="Arial" w:eastAsia="Arial" w:hAnsi="Arial" w:cs="Arial"/>
        </w:rPr>
        <w:t xml:space="preserve"> for Scotland’s work on AMR in the environment:  </w:t>
      </w:r>
    </w:p>
    <w:p w14:paraId="54E3AF7A" w14:textId="77777777" w:rsidR="00C3338E" w:rsidRDefault="476C1E8A" w:rsidP="00C3338E">
      <w:pPr>
        <w:pStyle w:val="ListParagraph"/>
        <w:numPr>
          <w:ilvl w:val="0"/>
          <w:numId w:val="12"/>
        </w:numPr>
        <w:spacing w:after="0" w:line="360" w:lineRule="auto"/>
        <w:rPr>
          <w:rFonts w:ascii="Arial" w:eastAsia="Arial" w:hAnsi="Arial" w:cs="Arial"/>
          <w:sz w:val="24"/>
          <w:szCs w:val="24"/>
        </w:rPr>
      </w:pPr>
      <w:r w:rsidRPr="55A138D1">
        <w:rPr>
          <w:rFonts w:ascii="Arial" w:eastAsia="Arial" w:hAnsi="Arial" w:cs="Arial"/>
          <w:sz w:val="24"/>
          <w:szCs w:val="24"/>
        </w:rPr>
        <w:t xml:space="preserve">To minimise the spread of AMR in the environment, look to maintain legislation to control the release of harmful substances in the aquatic environment which might otherwise contribute to its spread; and to amend our lists of priority substances and contaminants of emerging concern (including antimicrobials) and their corresponding standards in future to take account of technical and scientific developments.   </w:t>
      </w:r>
    </w:p>
    <w:p w14:paraId="529CDBBE" w14:textId="0AE3F9E8" w:rsidR="00236552" w:rsidRPr="00C3338E" w:rsidRDefault="7B59E190" w:rsidP="00C3338E">
      <w:pPr>
        <w:pStyle w:val="ListParagraph"/>
        <w:numPr>
          <w:ilvl w:val="0"/>
          <w:numId w:val="12"/>
        </w:numPr>
        <w:spacing w:after="0" w:line="360" w:lineRule="auto"/>
        <w:rPr>
          <w:rFonts w:ascii="Arial" w:eastAsia="Arial" w:hAnsi="Arial" w:cs="Arial"/>
          <w:sz w:val="24"/>
          <w:szCs w:val="24"/>
        </w:rPr>
      </w:pPr>
      <w:r w:rsidRPr="6B43C000">
        <w:rPr>
          <w:rFonts w:ascii="Arial" w:eastAsia="Arial" w:hAnsi="Arial" w:cs="Arial"/>
          <w:sz w:val="24"/>
          <w:szCs w:val="24"/>
        </w:rPr>
        <w:t>Gather evidence to understand the possible risks and hazards that AMR in the environment pose to the public</w:t>
      </w:r>
      <w:r w:rsidR="355BF257" w:rsidRPr="6B43C000">
        <w:rPr>
          <w:rFonts w:ascii="Arial" w:eastAsia="Arial" w:hAnsi="Arial" w:cs="Arial"/>
          <w:sz w:val="24"/>
          <w:szCs w:val="24"/>
        </w:rPr>
        <w:t>;</w:t>
      </w:r>
      <w:r w:rsidRPr="6B43C000">
        <w:rPr>
          <w:rFonts w:ascii="Arial" w:eastAsia="Arial" w:hAnsi="Arial" w:cs="Arial"/>
          <w:sz w:val="24"/>
          <w:szCs w:val="24"/>
        </w:rPr>
        <w:t xml:space="preserve"> develop and appraise policy options guided by this knowledge and increase public awareness of the hazard and risk of AMR in the environment.  </w:t>
      </w:r>
    </w:p>
    <w:p w14:paraId="46A7834E" w14:textId="2C5BF398" w:rsidR="7B59E190" w:rsidRDefault="7B59E190" w:rsidP="6B43C000">
      <w:pPr>
        <w:pStyle w:val="ListParagraph"/>
        <w:numPr>
          <w:ilvl w:val="0"/>
          <w:numId w:val="10"/>
        </w:numPr>
        <w:spacing w:after="0" w:line="360" w:lineRule="auto"/>
        <w:rPr>
          <w:rFonts w:ascii="Arial" w:eastAsia="Arial" w:hAnsi="Arial" w:cs="Arial"/>
          <w:sz w:val="24"/>
          <w:szCs w:val="24"/>
        </w:rPr>
      </w:pPr>
      <w:r w:rsidRPr="6B43C000">
        <w:rPr>
          <w:rFonts w:ascii="Arial" w:eastAsia="Arial" w:hAnsi="Arial" w:cs="Arial"/>
          <w:sz w:val="24"/>
          <w:szCs w:val="24"/>
        </w:rPr>
        <w:t xml:space="preserve">Explore the establishment of a river catchment-based research programme with clear standards for sample collection, analysis, and review, with the aim of delivering AMR monitoring data that can be used to evaluate existing management interventions and inform any new policy initiatives.     </w:t>
      </w:r>
    </w:p>
    <w:p w14:paraId="6D970F5B" w14:textId="78C12C5A" w:rsidR="6B43C000" w:rsidRDefault="6B43C000" w:rsidP="6B43C000">
      <w:pPr>
        <w:spacing w:after="0"/>
        <w:rPr>
          <w:rFonts w:ascii="Arial" w:eastAsia="MS PGothic" w:hAnsi="Arial" w:cs="Arial"/>
          <w:sz w:val="22"/>
          <w:szCs w:val="22"/>
        </w:rPr>
      </w:pPr>
    </w:p>
    <w:p w14:paraId="5480BFEC" w14:textId="5B378722" w:rsidR="004F309B" w:rsidRPr="00B83213" w:rsidRDefault="7F62A16B" w:rsidP="7F3CBF1D">
      <w:r w:rsidRPr="6B43C000">
        <w:rPr>
          <w:rFonts w:ascii="Arial" w:eastAsia="Arial" w:hAnsi="Arial" w:cs="Arial"/>
        </w:rPr>
        <w:t xml:space="preserve">The NAP </w:t>
      </w:r>
      <w:r w:rsidR="31B15C6A" w:rsidRPr="6B43C000">
        <w:rPr>
          <w:rFonts w:ascii="Arial" w:eastAsia="Arial" w:hAnsi="Arial" w:cs="Arial"/>
        </w:rPr>
        <w:t>for</w:t>
      </w:r>
      <w:r w:rsidR="5F6D10AF" w:rsidRPr="6B43C000">
        <w:rPr>
          <w:rFonts w:ascii="Arial" w:eastAsia="Arial" w:hAnsi="Arial" w:cs="Arial"/>
        </w:rPr>
        <w:t xml:space="preserve"> </w:t>
      </w:r>
      <w:r w:rsidRPr="6B43C000">
        <w:rPr>
          <w:rFonts w:ascii="Arial" w:eastAsia="Arial" w:hAnsi="Arial" w:cs="Arial"/>
        </w:rPr>
        <w:t>2024-2029</w:t>
      </w:r>
      <w:r w:rsidR="3C380267" w:rsidRPr="6B43C000">
        <w:rPr>
          <w:rFonts w:ascii="Arial" w:eastAsia="Arial" w:hAnsi="Arial" w:cs="Arial"/>
        </w:rPr>
        <w:t xml:space="preserve"> </w:t>
      </w:r>
      <w:r w:rsidR="2DBF3DC6" w:rsidRPr="6B43C000">
        <w:rPr>
          <w:rFonts w:ascii="Arial" w:eastAsia="Arial" w:hAnsi="Arial" w:cs="Arial"/>
        </w:rPr>
        <w:t>has been</w:t>
      </w:r>
      <w:r w:rsidR="23DAE9E7" w:rsidRPr="6B43C000">
        <w:rPr>
          <w:rFonts w:ascii="Arial" w:eastAsia="Arial" w:hAnsi="Arial" w:cs="Arial"/>
        </w:rPr>
        <w:t xml:space="preserve"> developed and the Scottish Government </w:t>
      </w:r>
      <w:r w:rsidR="7FC108A2" w:rsidRPr="6B43C000">
        <w:rPr>
          <w:rFonts w:ascii="Arial" w:eastAsia="Arial" w:hAnsi="Arial" w:cs="Arial"/>
        </w:rPr>
        <w:t xml:space="preserve">has </w:t>
      </w:r>
      <w:r w:rsidR="23DAE9E7" w:rsidRPr="6B43C000">
        <w:rPr>
          <w:rFonts w:ascii="Arial" w:eastAsia="Arial" w:hAnsi="Arial" w:cs="Arial"/>
        </w:rPr>
        <w:t>engag</w:t>
      </w:r>
      <w:r w:rsidR="3BE51A23" w:rsidRPr="6B43C000">
        <w:rPr>
          <w:rFonts w:ascii="Arial" w:eastAsia="Arial" w:hAnsi="Arial" w:cs="Arial"/>
        </w:rPr>
        <w:t>ed</w:t>
      </w:r>
      <w:r w:rsidR="23DAE9E7" w:rsidRPr="6B43C000">
        <w:rPr>
          <w:rFonts w:ascii="Arial" w:eastAsia="Arial" w:hAnsi="Arial" w:cs="Arial"/>
        </w:rPr>
        <w:t xml:space="preserve"> closely with Scottish stakeholders o</w:t>
      </w:r>
      <w:r w:rsidR="19D120D5" w:rsidRPr="6B43C000">
        <w:rPr>
          <w:rFonts w:ascii="Arial" w:eastAsia="Arial" w:hAnsi="Arial" w:cs="Arial"/>
        </w:rPr>
        <w:t xml:space="preserve">n the </w:t>
      </w:r>
      <w:r w:rsidR="25927012" w:rsidRPr="6B43C000">
        <w:rPr>
          <w:rFonts w:ascii="Arial" w:eastAsia="Arial" w:hAnsi="Arial" w:cs="Arial"/>
        </w:rPr>
        <w:t>production</w:t>
      </w:r>
      <w:r w:rsidR="19D120D5" w:rsidRPr="6B43C000">
        <w:rPr>
          <w:rFonts w:ascii="Arial" w:eastAsia="Arial" w:hAnsi="Arial" w:cs="Arial"/>
        </w:rPr>
        <w:t xml:space="preserve"> of it. </w:t>
      </w:r>
      <w:r w:rsidR="18274C47" w:rsidRPr="6B43C000">
        <w:rPr>
          <w:rFonts w:ascii="Arial" w:eastAsia="Arial" w:hAnsi="Arial" w:cs="Arial"/>
        </w:rPr>
        <w:t xml:space="preserve">It </w:t>
      </w:r>
      <w:r w:rsidR="29779075" w:rsidRPr="6B43C000">
        <w:rPr>
          <w:rFonts w:ascii="Arial" w:eastAsia="Arial" w:hAnsi="Arial" w:cs="Arial"/>
        </w:rPr>
        <w:t>set</w:t>
      </w:r>
      <w:r w:rsidR="155893E4" w:rsidRPr="6B43C000">
        <w:rPr>
          <w:rFonts w:ascii="Arial" w:eastAsia="Arial" w:hAnsi="Arial" w:cs="Arial"/>
        </w:rPr>
        <w:t>s</w:t>
      </w:r>
      <w:r w:rsidR="29779075" w:rsidRPr="6B43C000">
        <w:rPr>
          <w:rFonts w:ascii="Arial" w:eastAsia="Arial" w:hAnsi="Arial" w:cs="Arial"/>
        </w:rPr>
        <w:t xml:space="preserve"> out</w:t>
      </w:r>
      <w:r w:rsidRPr="6B43C000">
        <w:rPr>
          <w:rFonts w:ascii="Arial" w:eastAsia="Arial" w:hAnsi="Arial" w:cs="Arial"/>
        </w:rPr>
        <w:t xml:space="preserve"> (as part of a One Health approach) </w:t>
      </w:r>
      <w:r w:rsidR="4D6B66AC" w:rsidRPr="6B43C000">
        <w:rPr>
          <w:rFonts w:ascii="Arial" w:eastAsia="Arial" w:hAnsi="Arial" w:cs="Arial"/>
        </w:rPr>
        <w:t xml:space="preserve">a set of commitments </w:t>
      </w:r>
      <w:r w:rsidR="1D96C7BB" w:rsidRPr="6B43C000">
        <w:rPr>
          <w:rFonts w:ascii="Arial" w:eastAsia="Arial" w:hAnsi="Arial" w:cs="Arial"/>
        </w:rPr>
        <w:t>for the</w:t>
      </w:r>
      <w:r w:rsidRPr="6B43C000">
        <w:rPr>
          <w:rFonts w:ascii="Arial" w:eastAsia="Arial" w:hAnsi="Arial" w:cs="Arial"/>
        </w:rPr>
        <w:t xml:space="preserve"> surveillance of AMR and AMR driving chemicals in air, land and water environments and the use of this evidence to inform interventions to minimise the spread of AMR in the environment.</w:t>
      </w:r>
    </w:p>
    <w:p w14:paraId="28E1803A" w14:textId="7E9E612C" w:rsidR="00236552" w:rsidRPr="00B83213" w:rsidRDefault="5EC1EEEA" w:rsidP="00C3338E">
      <w:pPr>
        <w:pStyle w:val="Heading1"/>
        <w:tabs>
          <w:tab w:val="left" w:pos="720"/>
        </w:tabs>
      </w:pPr>
      <w:r>
        <w:t>SEPA contribution to the UK action plan</w:t>
      </w:r>
    </w:p>
    <w:p w14:paraId="0B8B360D" w14:textId="0630FBE4" w:rsidR="00236552" w:rsidRPr="00B83213" w:rsidRDefault="7F62A16B" w:rsidP="00544108">
      <w:pPr>
        <w:widowControl w:val="0"/>
        <w:rPr>
          <w:color w:val="000000"/>
        </w:rPr>
      </w:pPr>
      <w:r w:rsidRPr="6B43C000">
        <w:rPr>
          <w:rFonts w:ascii="Arial" w:eastAsia="Arial" w:hAnsi="Arial" w:cs="Arial"/>
          <w:color w:val="000000"/>
        </w:rPr>
        <w:t xml:space="preserve">The AMR in the Environment in Scotland Stakeholder Group (AESS) </w:t>
      </w:r>
      <w:r w:rsidR="30AE1CC2" w:rsidRPr="6B43C000">
        <w:rPr>
          <w:rFonts w:ascii="Arial" w:eastAsia="Arial" w:hAnsi="Arial" w:cs="Arial"/>
          <w:color w:val="000000"/>
        </w:rPr>
        <w:t xml:space="preserve">is chaired by the Scottish Government and </w:t>
      </w:r>
      <w:r w:rsidRPr="6B43C000">
        <w:rPr>
          <w:rFonts w:ascii="Arial" w:eastAsia="Arial" w:hAnsi="Arial" w:cs="Arial"/>
          <w:color w:val="000000"/>
        </w:rPr>
        <w:t xml:space="preserve">brings together key stakeholders working in this area (including SEPA) to help deliver the environmental policy </w:t>
      </w:r>
      <w:r w:rsidR="0AEB4CB7" w:rsidRPr="6B43C000">
        <w:rPr>
          <w:color w:val="000000"/>
        </w:rPr>
        <w:t>aspects of</w:t>
      </w:r>
      <w:r w:rsidRPr="6B43C000">
        <w:rPr>
          <w:color w:val="000000"/>
        </w:rPr>
        <w:t xml:space="preserve"> the NAP in a One Health way</w:t>
      </w:r>
      <w:r w:rsidR="637D94E6" w:rsidRPr="6B43C000">
        <w:rPr>
          <w:color w:val="000000"/>
        </w:rPr>
        <w:t>. It</w:t>
      </w:r>
      <w:r w:rsidRPr="6B43C000">
        <w:rPr>
          <w:color w:val="000000"/>
        </w:rPr>
        <w:t xml:space="preserve"> has the following </w:t>
      </w:r>
      <w:r w:rsidRPr="6B43C000">
        <w:rPr>
          <w:color w:val="000000"/>
        </w:rPr>
        <w:lastRenderedPageBreak/>
        <w:t xml:space="preserve">general aims:  </w:t>
      </w:r>
    </w:p>
    <w:p w14:paraId="3100D016" w14:textId="12627672" w:rsidR="66678A60" w:rsidRDefault="66678A60" w:rsidP="00544108">
      <w:pPr>
        <w:pStyle w:val="ListParagraph"/>
        <w:widowControl w:val="0"/>
        <w:numPr>
          <w:ilvl w:val="0"/>
          <w:numId w:val="1"/>
        </w:numPr>
        <w:spacing w:after="0" w:line="360" w:lineRule="auto"/>
        <w:rPr>
          <w:rFonts w:ascii="Arial" w:eastAsia="MS PGothic" w:hAnsi="Arial" w:cs="Arial"/>
          <w:color w:val="000000"/>
        </w:rPr>
      </w:pPr>
      <w:r w:rsidRPr="03061417">
        <w:rPr>
          <w:rFonts w:asciiTheme="minorHAnsi" w:eastAsiaTheme="minorEastAsia" w:hAnsiTheme="minorHAnsi" w:cstheme="minorBidi"/>
          <w:color w:val="000000"/>
          <w:sz w:val="24"/>
          <w:szCs w:val="24"/>
        </w:rPr>
        <w:t>I</w:t>
      </w:r>
      <w:r w:rsidR="23BC3F98" w:rsidRPr="03061417">
        <w:rPr>
          <w:rFonts w:asciiTheme="minorHAnsi" w:eastAsiaTheme="minorEastAsia" w:hAnsiTheme="minorHAnsi" w:cstheme="minorBidi"/>
          <w:color w:val="000000"/>
          <w:sz w:val="24"/>
          <w:szCs w:val="24"/>
        </w:rPr>
        <w:t xml:space="preserve">mprove understanding of the spread of AMR through the environment in Scotland, </w:t>
      </w:r>
      <w:proofErr w:type="gramStart"/>
      <w:r w:rsidR="23BC3F98" w:rsidRPr="03061417">
        <w:rPr>
          <w:rFonts w:asciiTheme="minorHAnsi" w:eastAsiaTheme="minorEastAsia" w:hAnsiTheme="minorHAnsi" w:cstheme="minorBidi"/>
          <w:color w:val="000000"/>
          <w:sz w:val="24"/>
          <w:szCs w:val="24"/>
        </w:rPr>
        <w:t>in light of</w:t>
      </w:r>
      <w:proofErr w:type="gramEnd"/>
      <w:r w:rsidR="23BC3F98" w:rsidRPr="03061417">
        <w:rPr>
          <w:rFonts w:asciiTheme="minorHAnsi" w:eastAsiaTheme="minorEastAsia" w:hAnsiTheme="minorHAnsi" w:cstheme="minorBidi"/>
          <w:color w:val="000000"/>
          <w:sz w:val="24"/>
          <w:szCs w:val="24"/>
        </w:rPr>
        <w:t xml:space="preserve"> surveillance data and research, and   </w:t>
      </w:r>
    </w:p>
    <w:p w14:paraId="1C0E635B" w14:textId="101DF7E0" w:rsidR="00236552" w:rsidRPr="00B83213" w:rsidRDefault="1FB838D8" w:rsidP="00F20D12">
      <w:pPr>
        <w:pStyle w:val="ListParagraph"/>
        <w:numPr>
          <w:ilvl w:val="0"/>
          <w:numId w:val="1"/>
        </w:numPr>
        <w:spacing w:after="0" w:line="360" w:lineRule="auto"/>
        <w:rPr>
          <w:rFonts w:eastAsia="Arial"/>
          <w:color w:val="000000"/>
        </w:rPr>
      </w:pPr>
      <w:r w:rsidRPr="03061417">
        <w:rPr>
          <w:rFonts w:asciiTheme="minorHAnsi" w:eastAsiaTheme="minorEastAsia" w:hAnsiTheme="minorHAnsi" w:cstheme="minorBidi"/>
          <w:color w:val="000000"/>
          <w:sz w:val="24"/>
          <w:szCs w:val="24"/>
        </w:rPr>
        <w:t>I</w:t>
      </w:r>
      <w:r w:rsidR="23BC3F98" w:rsidRPr="03061417">
        <w:rPr>
          <w:rFonts w:asciiTheme="minorHAnsi" w:eastAsiaTheme="minorEastAsia" w:hAnsiTheme="minorHAnsi" w:cstheme="minorBidi"/>
          <w:color w:val="000000"/>
          <w:sz w:val="24"/>
          <w:szCs w:val="24"/>
        </w:rPr>
        <w:t>dentify and recommend appropriate interventions to minimise that spread.   </w:t>
      </w:r>
    </w:p>
    <w:p w14:paraId="171F6594" w14:textId="0DA0B24D" w:rsidR="00236552" w:rsidRPr="00B83213" w:rsidRDefault="00236552" w:rsidP="00F20D12">
      <w:pPr>
        <w:spacing w:after="0"/>
        <w:rPr>
          <w:rFonts w:ascii="Arial" w:eastAsia="MS PGothic" w:hAnsi="Arial" w:cs="Arial"/>
          <w:color w:val="000000"/>
          <w:sz w:val="22"/>
          <w:szCs w:val="22"/>
        </w:rPr>
      </w:pPr>
    </w:p>
    <w:p w14:paraId="092D82FD" w14:textId="72E3AA8B" w:rsidR="23BC3F98" w:rsidRDefault="23BC3F98" w:rsidP="00544108">
      <w:pPr>
        <w:rPr>
          <w:color w:val="000000"/>
        </w:rPr>
      </w:pPr>
      <w:r w:rsidRPr="03061417">
        <w:rPr>
          <w:color w:val="000000"/>
        </w:rPr>
        <w:t xml:space="preserve">and objectives: </w:t>
      </w:r>
    </w:p>
    <w:p w14:paraId="4034EE60" w14:textId="6A7E943D" w:rsidR="00236552" w:rsidRPr="00B83213" w:rsidRDefault="23BC3F98" w:rsidP="00F20D12">
      <w:pPr>
        <w:pStyle w:val="ListParagraph"/>
        <w:numPr>
          <w:ilvl w:val="0"/>
          <w:numId w:val="2"/>
        </w:numPr>
        <w:spacing w:line="360" w:lineRule="auto"/>
        <w:rPr>
          <w:rFonts w:ascii="Arial" w:eastAsia="MS PGothic" w:hAnsi="Arial" w:cs="Arial"/>
          <w:color w:val="000000"/>
        </w:rPr>
      </w:pPr>
      <w:r w:rsidRPr="03061417">
        <w:rPr>
          <w:rFonts w:asciiTheme="minorHAnsi" w:eastAsiaTheme="minorEastAsia" w:hAnsiTheme="minorHAnsi" w:cstheme="minorBidi"/>
          <w:color w:val="000000"/>
          <w:sz w:val="24"/>
          <w:szCs w:val="24"/>
        </w:rPr>
        <w:t xml:space="preserve">Determine priorities for surveillance of AMR in the environment in </w:t>
      </w:r>
      <w:proofErr w:type="gramStart"/>
      <w:r w:rsidRPr="03061417">
        <w:rPr>
          <w:rFonts w:asciiTheme="minorHAnsi" w:eastAsiaTheme="minorEastAsia" w:hAnsiTheme="minorHAnsi" w:cstheme="minorBidi"/>
          <w:color w:val="000000"/>
          <w:sz w:val="24"/>
          <w:szCs w:val="24"/>
        </w:rPr>
        <w:t>Scotland</w:t>
      </w:r>
      <w:proofErr w:type="gramEnd"/>
      <w:r w:rsidR="63229D6B" w:rsidRPr="03061417">
        <w:rPr>
          <w:rFonts w:asciiTheme="minorHAnsi" w:eastAsiaTheme="minorEastAsia" w:hAnsiTheme="minorHAnsi" w:cstheme="minorBidi"/>
          <w:color w:val="000000"/>
          <w:sz w:val="24"/>
          <w:szCs w:val="24"/>
        </w:rPr>
        <w:t xml:space="preserve"> </w:t>
      </w:r>
    </w:p>
    <w:p w14:paraId="2B524029" w14:textId="34D7DD83" w:rsidR="00236552" w:rsidRPr="00B83213" w:rsidRDefault="23BC3F98" w:rsidP="00F20D12">
      <w:pPr>
        <w:pStyle w:val="ListParagraph"/>
        <w:numPr>
          <w:ilvl w:val="0"/>
          <w:numId w:val="2"/>
        </w:numPr>
        <w:spacing w:line="360" w:lineRule="auto"/>
        <w:rPr>
          <w:rFonts w:ascii="Arial" w:eastAsia="MS PGothic" w:hAnsi="Arial" w:cs="Arial"/>
          <w:color w:val="000000"/>
        </w:rPr>
      </w:pPr>
      <w:r w:rsidRPr="03061417">
        <w:rPr>
          <w:rFonts w:asciiTheme="minorHAnsi" w:eastAsiaTheme="minorEastAsia" w:hAnsiTheme="minorHAnsi" w:cstheme="minorBidi"/>
          <w:color w:val="000000"/>
          <w:sz w:val="24"/>
          <w:szCs w:val="24"/>
        </w:rPr>
        <w:t xml:space="preserve">Using data from this surveillance and other evidence, assess trends in the environmental spread of AMR and its contribution to the public health threat posed by AMR in Scotland. </w:t>
      </w:r>
    </w:p>
    <w:p w14:paraId="031B00B5" w14:textId="4BBC3A81" w:rsidR="00236552" w:rsidRPr="00B83213" w:rsidRDefault="23BC3F98" w:rsidP="00F20D12">
      <w:pPr>
        <w:pStyle w:val="ListParagraph"/>
        <w:numPr>
          <w:ilvl w:val="0"/>
          <w:numId w:val="2"/>
        </w:numPr>
        <w:spacing w:line="360" w:lineRule="auto"/>
        <w:rPr>
          <w:rFonts w:eastAsia="Arial"/>
          <w:color w:val="000000"/>
        </w:rPr>
      </w:pPr>
      <w:r w:rsidRPr="7534CFBF">
        <w:rPr>
          <w:rFonts w:asciiTheme="minorHAnsi" w:eastAsiaTheme="minorEastAsia" w:hAnsiTheme="minorHAnsi" w:cstheme="minorBidi"/>
          <w:color w:val="000000"/>
          <w:sz w:val="24"/>
          <w:szCs w:val="24"/>
        </w:rPr>
        <w:t xml:space="preserve">Consider and make recommendations on (new or existing) interventions to minimise the spread of AMR through the environment, </w:t>
      </w:r>
      <w:proofErr w:type="gramStart"/>
      <w:r w:rsidRPr="7534CFBF">
        <w:rPr>
          <w:rFonts w:asciiTheme="minorHAnsi" w:eastAsiaTheme="minorEastAsia" w:hAnsiTheme="minorHAnsi" w:cstheme="minorBidi"/>
          <w:color w:val="000000"/>
          <w:sz w:val="24"/>
          <w:szCs w:val="24"/>
        </w:rPr>
        <w:t>taking into account</w:t>
      </w:r>
      <w:proofErr w:type="gramEnd"/>
      <w:r w:rsidRPr="7534CFBF">
        <w:rPr>
          <w:rFonts w:asciiTheme="minorHAnsi" w:eastAsiaTheme="minorEastAsia" w:hAnsiTheme="minorHAnsi" w:cstheme="minorBidi"/>
          <w:color w:val="000000"/>
          <w:sz w:val="24"/>
          <w:szCs w:val="24"/>
        </w:rPr>
        <w:t xml:space="preserve"> risk/benefit and cost-effectiveness.  </w:t>
      </w:r>
    </w:p>
    <w:p w14:paraId="3ACA2776" w14:textId="7D21D669" w:rsidR="00236552" w:rsidRPr="00B83213" w:rsidRDefault="476C1E8A" w:rsidP="00C3338E">
      <w:r w:rsidRPr="55A138D1">
        <w:rPr>
          <w:rFonts w:ascii="Arial" w:eastAsia="Arial" w:hAnsi="Arial" w:cs="Arial"/>
          <w:color w:val="000000"/>
        </w:rPr>
        <w:t xml:space="preserve">The AESS group reports to the Scottish One Health National AMR Action Plan Group (SOHNAAP) (SEPA is a member of both groups) that has overall responsibility for coordinating the delivery of Scotland’s work for the NAP.  </w:t>
      </w:r>
      <w:r w:rsidRPr="55A138D1">
        <w:rPr>
          <w:rFonts w:ascii="Times New Roman" w:eastAsia="Times New Roman" w:hAnsi="Times New Roman" w:cs="Times New Roman"/>
          <w:color w:val="000000"/>
        </w:rPr>
        <w:t xml:space="preserve"> </w:t>
      </w:r>
      <w:r w:rsidRPr="55A138D1">
        <w:rPr>
          <w:rFonts w:ascii="Arial" w:eastAsia="Arial" w:hAnsi="Arial" w:cs="Arial"/>
          <w:color w:val="000000"/>
        </w:rPr>
        <w:t xml:space="preserve"> </w:t>
      </w:r>
      <w:r w:rsidRPr="55A138D1">
        <w:rPr>
          <w:rFonts w:ascii="Times New Roman" w:eastAsia="Times New Roman" w:hAnsi="Times New Roman" w:cs="Times New Roman"/>
          <w:color w:val="000000"/>
        </w:rPr>
        <w:t xml:space="preserve"> </w:t>
      </w:r>
    </w:p>
    <w:p w14:paraId="11415366" w14:textId="0300820C" w:rsidR="00236552" w:rsidRPr="00B83213" w:rsidRDefault="7B59E190" w:rsidP="6B43C000">
      <w:r w:rsidRPr="46D4A434">
        <w:rPr>
          <w:rFonts w:ascii="Arial" w:eastAsia="Arial" w:hAnsi="Arial" w:cs="Arial"/>
          <w:color w:val="000000"/>
        </w:rPr>
        <w:t>ARHAI Scotland produces the annual Scottish One Health Antimicrobial Use and Antimicrobial Resistance report</w:t>
      </w:r>
      <w:r w:rsidR="7888E624" w:rsidRPr="46D4A434">
        <w:rPr>
          <w:rFonts w:ascii="Arial" w:eastAsia="Arial" w:hAnsi="Arial" w:cs="Arial"/>
          <w:color w:val="000000"/>
        </w:rPr>
        <w:t xml:space="preserve"> (SONAAR)</w:t>
      </w:r>
      <w:r w:rsidR="3CE89E64" w:rsidRPr="46D4A434">
        <w:rPr>
          <w:rFonts w:ascii="Arial" w:eastAsia="Arial" w:hAnsi="Arial" w:cs="Arial"/>
          <w:color w:val="000000"/>
        </w:rPr>
        <w:t xml:space="preserve"> report</w:t>
      </w:r>
      <w:r w:rsidR="00D35448" w:rsidRPr="46D4A434">
        <w:rPr>
          <w:rStyle w:val="FootnoteReference"/>
          <w:rFonts w:ascii="Arial" w:eastAsia="Arial" w:hAnsi="Arial" w:cs="Arial"/>
          <w:color w:val="000000"/>
        </w:rPr>
        <w:footnoteReference w:id="12"/>
      </w:r>
      <w:r w:rsidR="0DC588EA" w:rsidRPr="46D4A434">
        <w:rPr>
          <w:rFonts w:ascii="Arial" w:eastAsia="Arial" w:hAnsi="Arial" w:cs="Arial"/>
          <w:color w:val="000000"/>
        </w:rPr>
        <w:t xml:space="preserve"> </w:t>
      </w:r>
      <w:r w:rsidRPr="46D4A434">
        <w:rPr>
          <w:rFonts w:ascii="Arial" w:eastAsia="Arial" w:hAnsi="Arial" w:cs="Arial"/>
          <w:color w:val="000000"/>
        </w:rPr>
        <w:t>for publication in November each year (during World AMR Awareness Week)</w:t>
      </w:r>
      <w:r w:rsidR="200BD29A" w:rsidRPr="46D4A434">
        <w:rPr>
          <w:rFonts w:ascii="Arial" w:eastAsia="Arial" w:hAnsi="Arial" w:cs="Arial"/>
          <w:color w:val="000000"/>
        </w:rPr>
        <w:t>: this provides information</w:t>
      </w:r>
      <w:r w:rsidRPr="46D4A434">
        <w:rPr>
          <w:rFonts w:ascii="Arial" w:eastAsia="Arial" w:hAnsi="Arial" w:cs="Arial"/>
          <w:color w:val="000000"/>
        </w:rPr>
        <w:t xml:space="preserve"> on antibiotic use and antibiotic resistance in humans and animals and considers antibiotic resistance in the environment.</w:t>
      </w:r>
    </w:p>
    <w:p w14:paraId="13CFDA90" w14:textId="5465B12D" w:rsidR="00236552" w:rsidRPr="00B83213" w:rsidRDefault="50536822" w:rsidP="00C3338E">
      <w:pPr>
        <w:pStyle w:val="Heading1"/>
        <w:tabs>
          <w:tab w:val="left" w:pos="720"/>
        </w:tabs>
      </w:pPr>
      <w:r w:rsidRPr="7534CFBF">
        <w:t>SEPA</w:t>
      </w:r>
      <w:r w:rsidR="23BC3F98" w:rsidRPr="7534CFBF">
        <w:t xml:space="preserve"> environmental</w:t>
      </w:r>
      <w:r w:rsidR="5AB09F71" w:rsidRPr="7534CFBF">
        <w:t xml:space="preserve"> AMR</w:t>
      </w:r>
      <w:r w:rsidR="23BC3F98" w:rsidRPr="7534CFBF">
        <w:t xml:space="preserve"> surveillance</w:t>
      </w:r>
    </w:p>
    <w:p w14:paraId="71658ACE" w14:textId="5776ECC3" w:rsidR="00236552" w:rsidRPr="00B83213" w:rsidRDefault="476C1E8A" w:rsidP="00C3338E">
      <w:pPr>
        <w:rPr>
          <w:rFonts w:ascii="Arial" w:eastAsia="Arial" w:hAnsi="Arial" w:cs="Arial"/>
          <w:color w:val="000000"/>
        </w:rPr>
      </w:pPr>
      <w:r w:rsidRPr="46D4A434">
        <w:rPr>
          <w:rFonts w:ascii="Arial" w:eastAsia="Arial" w:hAnsi="Arial" w:cs="Arial"/>
          <w:color w:val="000000"/>
        </w:rPr>
        <w:t xml:space="preserve">SEPA has, since 2018, been testing for cefotaxime resistance in </w:t>
      </w:r>
      <w:r w:rsidRPr="46D4A434">
        <w:rPr>
          <w:rFonts w:ascii="Arial" w:eastAsia="Arial" w:hAnsi="Arial" w:cs="Arial"/>
          <w:i/>
          <w:iCs/>
          <w:color w:val="000000"/>
        </w:rPr>
        <w:t>E. coli</w:t>
      </w:r>
      <w:r w:rsidRPr="46D4A434">
        <w:rPr>
          <w:rFonts w:ascii="Arial" w:eastAsia="Arial" w:hAnsi="Arial" w:cs="Arial"/>
          <w:color w:val="000000"/>
        </w:rPr>
        <w:t xml:space="preserve"> bacteria at designated bathing water sites across Scotland. SEPA has produced a</w:t>
      </w:r>
      <w:r w:rsidR="3D95E5CB" w:rsidRPr="52C40CF2">
        <w:rPr>
          <w:rFonts w:ascii="Arial" w:eastAsia="Arial" w:hAnsi="Arial" w:cs="Arial"/>
          <w:color w:val="000000"/>
        </w:rPr>
        <w:t xml:space="preserve"> bespoke</w:t>
      </w:r>
      <w:r w:rsidRPr="46D4A434">
        <w:rPr>
          <w:rFonts w:ascii="Arial" w:eastAsia="Arial" w:hAnsi="Arial" w:cs="Arial"/>
          <w:color w:val="000000"/>
        </w:rPr>
        <w:t xml:space="preserve"> </w:t>
      </w:r>
      <w:hyperlink r:id="rId13">
        <w:r w:rsidRPr="46D4A434">
          <w:rPr>
            <w:rStyle w:val="Hyperlink"/>
            <w:rFonts w:ascii="Arial" w:eastAsia="Arial" w:hAnsi="Arial" w:cs="Arial"/>
          </w:rPr>
          <w:t>web-based data visualisation tool</w:t>
        </w:r>
      </w:hyperlink>
      <w:r w:rsidRPr="46D4A434">
        <w:rPr>
          <w:rFonts w:ascii="Arial" w:eastAsia="Arial" w:hAnsi="Arial" w:cs="Arial"/>
          <w:color w:val="000000"/>
        </w:rPr>
        <w:t xml:space="preserve"> for the sharing, assessing, and presenting its bathing waters AMR surveillance data and published a link to this information in the SONAAR report. </w:t>
      </w:r>
    </w:p>
    <w:p w14:paraId="1E895A3C" w14:textId="32CDE03C" w:rsidR="00236552" w:rsidRPr="00B83213" w:rsidRDefault="23BC3F98" w:rsidP="00C3338E">
      <w:pPr>
        <w:rPr>
          <w:rFonts w:ascii="Arial" w:eastAsia="Arial" w:hAnsi="Arial" w:cs="Arial"/>
          <w:color w:val="000000"/>
        </w:rPr>
      </w:pPr>
      <w:r w:rsidRPr="7534CFBF">
        <w:rPr>
          <w:rFonts w:ascii="Arial" w:eastAsia="Arial" w:hAnsi="Arial" w:cs="Arial"/>
          <w:color w:val="000000"/>
        </w:rPr>
        <w:lastRenderedPageBreak/>
        <w:t>SEPA extended this antibiotic resistance testing in 2022 to include vancomycin resistance in enterococci (VRE) and is contributing to an ARHAI Scotland led project on surveillance of VRE in human and bathing water isolates. The level of VRE in Scotland</w:t>
      </w:r>
      <w:r w:rsidRPr="52C40CF2">
        <w:rPr>
          <w:rStyle w:val="FootnoteReference"/>
          <w:rFonts w:ascii="Arial" w:eastAsia="Arial" w:hAnsi="Arial" w:cs="Arial"/>
          <w:color w:val="000000"/>
        </w:rPr>
        <w:footnoteReference w:id="13"/>
      </w:r>
      <w:r w:rsidRPr="7534CFBF">
        <w:rPr>
          <w:rFonts w:ascii="Arial" w:eastAsia="Arial" w:hAnsi="Arial" w:cs="Arial"/>
          <w:color w:val="000000"/>
        </w:rPr>
        <w:t xml:space="preserve"> is </w:t>
      </w:r>
      <w:r w:rsidR="630A40A6" w:rsidRPr="52C40CF2">
        <w:rPr>
          <w:rFonts w:ascii="Arial" w:eastAsia="Arial" w:hAnsi="Arial" w:cs="Arial"/>
          <w:color w:val="000000"/>
        </w:rPr>
        <w:t>one of the</w:t>
      </w:r>
      <w:r w:rsidR="432B6105" w:rsidRPr="52C40CF2">
        <w:rPr>
          <w:rFonts w:ascii="Arial" w:eastAsia="Arial" w:hAnsi="Arial" w:cs="Arial"/>
          <w:color w:val="000000"/>
        </w:rPr>
        <w:t xml:space="preserve"> </w:t>
      </w:r>
      <w:r w:rsidRPr="7534CFBF">
        <w:rPr>
          <w:rFonts w:ascii="Arial" w:eastAsia="Arial" w:hAnsi="Arial" w:cs="Arial"/>
          <w:color w:val="000000"/>
        </w:rPr>
        <w:t>highest in Europe</w:t>
      </w:r>
      <w:r w:rsidRPr="52C40CF2">
        <w:rPr>
          <w:rStyle w:val="FootnoteReference"/>
          <w:rFonts w:ascii="Arial" w:eastAsia="Arial" w:hAnsi="Arial" w:cs="Arial"/>
          <w:color w:val="000000"/>
        </w:rPr>
        <w:footnoteReference w:id="14"/>
      </w:r>
      <w:r w:rsidRPr="7534CFBF">
        <w:rPr>
          <w:rFonts w:ascii="Arial" w:eastAsia="Arial" w:hAnsi="Arial" w:cs="Arial"/>
          <w:color w:val="000000"/>
        </w:rPr>
        <w:t xml:space="preserve"> and much higher than that in England</w:t>
      </w:r>
      <w:r w:rsidRPr="52C40CF2">
        <w:rPr>
          <w:rStyle w:val="FootnoteReference"/>
          <w:rFonts w:ascii="Arial" w:eastAsia="Arial" w:hAnsi="Arial" w:cs="Arial"/>
          <w:color w:val="000000"/>
        </w:rPr>
        <w:footnoteReference w:id="15"/>
      </w:r>
      <w:r w:rsidRPr="7534CFBF">
        <w:rPr>
          <w:rFonts w:ascii="Arial" w:eastAsia="Arial" w:hAnsi="Arial" w:cs="Arial"/>
          <w:color w:val="000000"/>
        </w:rPr>
        <w:t xml:space="preserve"> and is the subject of multi-agency action. </w:t>
      </w:r>
    </w:p>
    <w:p w14:paraId="473E4F31" w14:textId="4E96B401" w:rsidR="00236552" w:rsidRPr="00B83213" w:rsidRDefault="331A35CE" w:rsidP="00C3338E">
      <w:pPr>
        <w:pStyle w:val="Heading1"/>
        <w:tabs>
          <w:tab w:val="left" w:pos="720"/>
        </w:tabs>
      </w:pPr>
      <w:r w:rsidRPr="7534CFBF">
        <w:t>R</w:t>
      </w:r>
      <w:r w:rsidR="23BC3F98" w:rsidRPr="7534CFBF">
        <w:t xml:space="preserve">esearch to inform policy and </w:t>
      </w:r>
      <w:proofErr w:type="gramStart"/>
      <w:r w:rsidR="23BC3F98" w:rsidRPr="7534CFBF">
        <w:t>regulation</w:t>
      </w:r>
      <w:proofErr w:type="gramEnd"/>
    </w:p>
    <w:p w14:paraId="64FAB2BD" w14:textId="25638392" w:rsidR="00236552" w:rsidRPr="00B83213" w:rsidRDefault="476C1E8A" w:rsidP="00C3338E">
      <w:r w:rsidRPr="46D4A434">
        <w:rPr>
          <w:rFonts w:ascii="Arial" w:eastAsia="Arial" w:hAnsi="Arial" w:cs="Arial"/>
        </w:rPr>
        <w:t xml:space="preserve">The NAP recognises the need for further research to deepen understanding about AMR in the environment and design effective interventions to minimise risk and protect public health, food production and natural ecosystems. It also recognises it is critical that policy and regulatory regimes are guided by robust evidence and scientific advice. </w:t>
      </w:r>
    </w:p>
    <w:p w14:paraId="4E902FF4" w14:textId="3FBA4320" w:rsidR="00236552" w:rsidRPr="00B83213" w:rsidRDefault="476C1E8A" w:rsidP="00C3338E">
      <w:r w:rsidRPr="46D4A434">
        <w:rPr>
          <w:rFonts w:ascii="Arial" w:eastAsia="Arial" w:hAnsi="Arial" w:cs="Arial"/>
        </w:rPr>
        <w:t xml:space="preserve">SEPA is involved in </w:t>
      </w:r>
      <w:r w:rsidR="4C4EC5DD" w:rsidRPr="52C40CF2">
        <w:rPr>
          <w:rFonts w:ascii="Arial" w:eastAsia="Arial" w:hAnsi="Arial" w:cs="Arial"/>
        </w:rPr>
        <w:t>some</w:t>
      </w:r>
      <w:r w:rsidRPr="46D4A434">
        <w:rPr>
          <w:rFonts w:ascii="Arial" w:eastAsia="Arial" w:hAnsi="Arial" w:cs="Arial"/>
        </w:rPr>
        <w:t xml:space="preserve"> focused research initiatives to this end and examples include collaborations with Edinburgh Napier University, Scottish Water, and the Scottish Government (RESAS) on AMR and AMR driving chemicals in Scotland’s water environment.</w:t>
      </w:r>
    </w:p>
    <w:p w14:paraId="18368111" w14:textId="3689DC48" w:rsidR="00236552" w:rsidRPr="00B83213" w:rsidRDefault="7B59E190" w:rsidP="03061417">
      <w:pPr>
        <w:spacing w:after="0"/>
        <w:rPr>
          <w:rFonts w:ascii="Arial" w:eastAsia="Arial" w:hAnsi="Arial" w:cs="Arial"/>
          <w:color w:val="000000"/>
        </w:rPr>
      </w:pPr>
      <w:r w:rsidRPr="46D4A434">
        <w:rPr>
          <w:rFonts w:ascii="Arial" w:eastAsia="Arial" w:hAnsi="Arial" w:cs="Arial"/>
        </w:rPr>
        <w:t>Some pharmaceuticals are known to be ecotoxic and exacerbate the spread of AMR in the environment</w:t>
      </w:r>
      <w:r w:rsidR="26C3E136" w:rsidRPr="46D4A434">
        <w:rPr>
          <w:rFonts w:ascii="Arial" w:eastAsia="Arial" w:hAnsi="Arial" w:cs="Arial"/>
        </w:rPr>
        <w:t>.</w:t>
      </w:r>
      <w:r w:rsidRPr="46D4A434">
        <w:rPr>
          <w:rFonts w:ascii="Arial" w:eastAsia="Arial" w:hAnsi="Arial" w:cs="Arial"/>
        </w:rPr>
        <w:t xml:space="preserve"> SEPA, as a member the </w:t>
      </w:r>
      <w:hyperlink r:id="rId14">
        <w:r w:rsidRPr="46D4A434">
          <w:rPr>
            <w:rStyle w:val="Hyperlink"/>
            <w:rFonts w:ascii="Arial" w:eastAsia="Arial" w:hAnsi="Arial" w:cs="Arial"/>
          </w:rPr>
          <w:t>One Health Breakthrough Partnership</w:t>
        </w:r>
      </w:hyperlink>
      <w:r w:rsidRPr="46D4A434">
        <w:rPr>
          <w:rFonts w:ascii="Arial" w:eastAsia="Arial" w:hAnsi="Arial" w:cs="Arial"/>
        </w:rPr>
        <w:t xml:space="preserve"> (OHBP)</w:t>
      </w:r>
      <w:r w:rsidR="00D35448" w:rsidRPr="46D4A434">
        <w:rPr>
          <w:rStyle w:val="FootnoteReference"/>
          <w:rFonts w:ascii="Arial" w:eastAsia="Arial" w:hAnsi="Arial" w:cs="Arial"/>
        </w:rPr>
        <w:footnoteReference w:id="16"/>
      </w:r>
      <w:r w:rsidRPr="46D4A434">
        <w:rPr>
          <w:rFonts w:ascii="Arial" w:eastAsia="Arial" w:hAnsi="Arial" w:cs="Arial"/>
        </w:rPr>
        <w:t>, is working to reduce pharmaceutical pollution through improved prescribing, use and disposal of medicines. The OHBP commissioned the CREW report on “Pharmaceuticals in the water environment: baseline assessment and recommendations”</w:t>
      </w:r>
      <w:r w:rsidR="00D35448" w:rsidRPr="46D4A434">
        <w:rPr>
          <w:rStyle w:val="FootnoteReference"/>
          <w:rFonts w:ascii="Arial" w:eastAsia="Arial" w:hAnsi="Arial" w:cs="Arial"/>
        </w:rPr>
        <w:footnoteReference w:id="17"/>
      </w:r>
      <w:r w:rsidRPr="46D4A434">
        <w:rPr>
          <w:rFonts w:ascii="Arial" w:eastAsia="Arial" w:hAnsi="Arial" w:cs="Arial"/>
        </w:rPr>
        <w:t xml:space="preserve">. </w:t>
      </w:r>
      <w:r w:rsidRPr="46D4A434">
        <w:rPr>
          <w:rFonts w:ascii="Arial" w:eastAsia="Arial" w:hAnsi="Arial" w:cs="Arial"/>
          <w:color w:val="000000"/>
        </w:rPr>
        <w:t xml:space="preserve">Data from SEPA formed an important part of this CREW research and, when combined with information from other sources, the report provides a valuable step forward to better understanding the presence, levels, and risks (AMR and ecotoxicity) of pharmaceuticals in Scotland’s water environment. The report’s </w:t>
      </w:r>
      <w:r w:rsidRPr="7534CFBF">
        <w:rPr>
          <w:color w:val="000000"/>
        </w:rPr>
        <w:t xml:space="preserve">findings have important implications for </w:t>
      </w:r>
      <w:r w:rsidRPr="7534CFBF">
        <w:t>future environmental monitoring, policy, and regulation.</w:t>
      </w:r>
      <w:r w:rsidRPr="7534CFBF">
        <w:rPr>
          <w:color w:val="000000"/>
        </w:rPr>
        <w:t xml:space="preserve"> </w:t>
      </w:r>
      <w:r w:rsidRPr="7534CFBF">
        <w:t>It provides</w:t>
      </w:r>
      <w:r w:rsidRPr="7534CFBF">
        <w:rPr>
          <w:color w:val="000000"/>
        </w:rPr>
        <w:t xml:space="preserve"> a robust baseline which (when combined with the use of a bespoke</w:t>
      </w:r>
      <w:r w:rsidR="20CC58CE" w:rsidRPr="7534CFBF">
        <w:rPr>
          <w:color w:val="000000"/>
        </w:rPr>
        <w:t xml:space="preserve"> </w:t>
      </w:r>
      <w:r w:rsidR="62D86A82" w:rsidRPr="7534CFBF">
        <w:rPr>
          <w:color w:val="0563C1"/>
          <w:u w:val="single"/>
        </w:rPr>
        <w:t>Pharmaceutical Data Visualisation Tool</w:t>
      </w:r>
      <w:r w:rsidR="68A50A2C" w:rsidRPr="7534CFBF">
        <w:t>)</w:t>
      </w:r>
      <w:r w:rsidR="62D86A82" w:rsidRPr="7534CFBF">
        <w:rPr>
          <w:color w:val="000000"/>
        </w:rPr>
        <w:t xml:space="preserve"> </w:t>
      </w:r>
      <w:r w:rsidRPr="7534CFBF">
        <w:rPr>
          <w:rFonts w:ascii="Arial" w:eastAsia="Arial" w:hAnsi="Arial" w:cs="Arial"/>
          <w:color w:val="000000"/>
        </w:rPr>
        <w:t>can be used to inform and evaluate the effectiveness of interventions</w:t>
      </w:r>
      <w:r w:rsidRPr="46D4A434">
        <w:rPr>
          <w:rFonts w:ascii="Arial" w:eastAsia="Arial" w:hAnsi="Arial" w:cs="Arial"/>
          <w:color w:val="000000"/>
        </w:rPr>
        <w:t xml:space="preserve">. The OHBP work also focuses on awareness raising activities to drive better practice on </w:t>
      </w:r>
      <w:r w:rsidRPr="46D4A434">
        <w:rPr>
          <w:rFonts w:ascii="Arial" w:eastAsia="Arial" w:hAnsi="Arial" w:cs="Arial"/>
          <w:color w:val="000000"/>
        </w:rPr>
        <w:lastRenderedPageBreak/>
        <w:t>pharmaceutical use and disposal, thereby helping to reduce pharmaceutical pollution and the spread of AMR.</w:t>
      </w:r>
    </w:p>
    <w:p w14:paraId="2D6CAFA0" w14:textId="61BDFAB5" w:rsidR="03061417" w:rsidRDefault="03061417" w:rsidP="03061417">
      <w:pPr>
        <w:spacing w:after="0"/>
        <w:rPr>
          <w:rFonts w:ascii="Arial" w:eastAsia="Arial" w:hAnsi="Arial" w:cs="Arial"/>
          <w:color w:val="000000"/>
        </w:rPr>
      </w:pPr>
    </w:p>
    <w:p w14:paraId="7C09704D" w14:textId="0BBC7444" w:rsidR="00236552" w:rsidRPr="00B83213" w:rsidRDefault="23BC3F98" w:rsidP="00C3338E">
      <w:pPr>
        <w:rPr>
          <w:rFonts w:ascii="Arial" w:eastAsia="Arial" w:hAnsi="Arial" w:cs="Arial"/>
        </w:rPr>
      </w:pPr>
      <w:r w:rsidRPr="46D4A434">
        <w:rPr>
          <w:rFonts w:ascii="Arial" w:eastAsia="Arial" w:hAnsi="Arial" w:cs="Arial"/>
          <w:color w:val="000000"/>
        </w:rPr>
        <w:t>The UK Chemical Investigation</w:t>
      </w:r>
      <w:r w:rsidR="6FF7B223" w:rsidRPr="46D4A434">
        <w:rPr>
          <w:rFonts w:ascii="Arial" w:eastAsia="Arial" w:hAnsi="Arial" w:cs="Arial"/>
          <w:color w:val="000000"/>
        </w:rPr>
        <w:t>s</w:t>
      </w:r>
      <w:r w:rsidRPr="46D4A434">
        <w:rPr>
          <w:rFonts w:ascii="Arial" w:eastAsia="Arial" w:hAnsi="Arial" w:cs="Arial"/>
          <w:color w:val="000000"/>
        </w:rPr>
        <w:t xml:space="preserve"> Programme (CIP</w:t>
      </w:r>
      <w:r w:rsidR="65089E34" w:rsidRPr="46D4A434">
        <w:rPr>
          <w:rFonts w:ascii="Arial" w:eastAsia="Arial" w:hAnsi="Arial" w:cs="Arial"/>
          <w:color w:val="000000"/>
        </w:rPr>
        <w:t>)</w:t>
      </w:r>
      <w:r w:rsidR="00D35448" w:rsidRPr="46D4A434">
        <w:rPr>
          <w:rStyle w:val="FootnoteReference"/>
          <w:rFonts w:ascii="Arial" w:eastAsia="Arial" w:hAnsi="Arial" w:cs="Arial"/>
          <w:color w:val="000000"/>
        </w:rPr>
        <w:footnoteReference w:id="18"/>
      </w:r>
      <w:r w:rsidR="5311CA60" w:rsidRPr="46D4A434">
        <w:rPr>
          <w:rFonts w:ascii="Arial" w:eastAsia="Arial" w:hAnsi="Arial" w:cs="Arial"/>
          <w:color w:val="000000"/>
        </w:rPr>
        <w:t xml:space="preserve"> brings together the UK water industry and regulators to investigate chemicals and other substances of emerging concern</w:t>
      </w:r>
      <w:r w:rsidR="7C5F7281" w:rsidRPr="46D4A434">
        <w:rPr>
          <w:rFonts w:ascii="Arial" w:eastAsia="Arial" w:hAnsi="Arial" w:cs="Arial"/>
          <w:color w:val="000000"/>
        </w:rPr>
        <w:t xml:space="preserve"> </w:t>
      </w:r>
      <w:r w:rsidR="63947651" w:rsidRPr="46D4A434">
        <w:rPr>
          <w:rFonts w:ascii="Arial" w:eastAsia="Arial" w:hAnsi="Arial" w:cs="Arial"/>
          <w:color w:val="000000"/>
        </w:rPr>
        <w:t>in the water environment</w:t>
      </w:r>
      <w:r w:rsidR="692116E4" w:rsidRPr="46D4A434">
        <w:rPr>
          <w:rFonts w:ascii="Arial" w:eastAsia="Arial" w:hAnsi="Arial" w:cs="Arial"/>
          <w:color w:val="000000"/>
        </w:rPr>
        <w:t>. CIP</w:t>
      </w:r>
      <w:r w:rsidR="363E850F" w:rsidRPr="46D4A434">
        <w:rPr>
          <w:rFonts w:ascii="Arial" w:eastAsia="Arial" w:hAnsi="Arial" w:cs="Arial"/>
          <w:color w:val="000000"/>
        </w:rPr>
        <w:t xml:space="preserve"> Phase </w:t>
      </w:r>
      <w:r w:rsidR="692116E4" w:rsidRPr="46D4A434">
        <w:rPr>
          <w:rFonts w:ascii="Arial" w:eastAsia="Arial" w:hAnsi="Arial" w:cs="Arial"/>
          <w:color w:val="000000"/>
        </w:rPr>
        <w:t xml:space="preserve">3 </w:t>
      </w:r>
      <w:r w:rsidR="1679BA8A" w:rsidRPr="46D4A434">
        <w:rPr>
          <w:rFonts w:ascii="Arial" w:eastAsia="Arial" w:hAnsi="Arial" w:cs="Arial"/>
          <w:color w:val="000000"/>
        </w:rPr>
        <w:t>(</w:t>
      </w:r>
      <w:r w:rsidR="692116E4" w:rsidRPr="46D4A434">
        <w:rPr>
          <w:rFonts w:ascii="Arial" w:eastAsia="Arial" w:hAnsi="Arial" w:cs="Arial"/>
          <w:color w:val="000000"/>
        </w:rPr>
        <w:t>which ran from 2020-2022</w:t>
      </w:r>
      <w:r w:rsidR="75C0AF60" w:rsidRPr="46D4A434">
        <w:rPr>
          <w:rFonts w:ascii="Arial" w:eastAsia="Arial" w:hAnsi="Arial" w:cs="Arial"/>
          <w:color w:val="000000"/>
        </w:rPr>
        <w:t>) conducted research on AMR genes and AMR driving chemica</w:t>
      </w:r>
      <w:r w:rsidR="10726A0B" w:rsidRPr="46D4A434">
        <w:rPr>
          <w:rFonts w:ascii="Arial" w:eastAsia="Arial" w:hAnsi="Arial" w:cs="Arial"/>
          <w:color w:val="000000"/>
        </w:rPr>
        <w:t>l</w:t>
      </w:r>
      <w:r w:rsidR="75C0AF60" w:rsidRPr="46D4A434">
        <w:rPr>
          <w:rFonts w:ascii="Arial" w:eastAsia="Arial" w:hAnsi="Arial" w:cs="Arial"/>
          <w:color w:val="000000"/>
        </w:rPr>
        <w:t>s (pharmaceuticals) in wastewater and sludge</w:t>
      </w:r>
      <w:r w:rsidR="287A33C6" w:rsidRPr="46D4A434">
        <w:rPr>
          <w:rFonts w:ascii="Arial" w:eastAsia="Arial" w:hAnsi="Arial" w:cs="Arial"/>
          <w:color w:val="000000"/>
        </w:rPr>
        <w:t xml:space="preserve"> at different types of wastewater treatment plants in England (see </w:t>
      </w:r>
      <w:r w:rsidR="692116E4" w:rsidRPr="46D4A434">
        <w:rPr>
          <w:rFonts w:ascii="Arial" w:eastAsia="Arial" w:hAnsi="Arial" w:cs="Arial"/>
          <w:color w:val="000000"/>
        </w:rPr>
        <w:t>report</w:t>
      </w:r>
      <w:r w:rsidR="00D35448" w:rsidRPr="46D4A434">
        <w:rPr>
          <w:rStyle w:val="FootnoteReference"/>
          <w:rFonts w:ascii="Arial" w:eastAsia="Arial" w:hAnsi="Arial" w:cs="Arial"/>
          <w:color w:val="000000"/>
        </w:rPr>
        <w:footnoteReference w:id="19"/>
      </w:r>
      <w:r w:rsidR="24B54BFE" w:rsidRPr="7534CFBF">
        <w:rPr>
          <w:rFonts w:ascii="Arial" w:eastAsia="Arial" w:hAnsi="Arial" w:cs="Arial"/>
          <w:color w:val="000000"/>
        </w:rPr>
        <w:t>).</w:t>
      </w:r>
      <w:r w:rsidRPr="46D4A434">
        <w:rPr>
          <w:rFonts w:ascii="Arial" w:eastAsia="Arial" w:hAnsi="Arial" w:cs="Arial"/>
          <w:color w:val="000000"/>
        </w:rPr>
        <w:t xml:space="preserve"> </w:t>
      </w:r>
      <w:r w:rsidR="5B0DBF16" w:rsidRPr="46D4A434">
        <w:rPr>
          <w:rFonts w:ascii="Arial" w:eastAsia="Arial" w:hAnsi="Arial" w:cs="Arial"/>
          <w:color w:val="000000"/>
        </w:rPr>
        <w:t>The main conclusion was that wastewater treatment works are effective at reducing the abundance of antibiotic resistant genes in the final effluent at 83-98% removal</w:t>
      </w:r>
      <w:r w:rsidR="67880B0F" w:rsidRPr="46D4A434">
        <w:rPr>
          <w:rFonts w:ascii="Arial" w:eastAsia="Arial" w:hAnsi="Arial" w:cs="Arial"/>
          <w:color w:val="000000"/>
        </w:rPr>
        <w:t xml:space="preserve">. </w:t>
      </w:r>
      <w:r w:rsidR="0D47D805" w:rsidRPr="46D4A434">
        <w:rPr>
          <w:rFonts w:ascii="Arial" w:eastAsia="Arial" w:hAnsi="Arial" w:cs="Arial"/>
          <w:color w:val="000000"/>
        </w:rPr>
        <w:t>However,</w:t>
      </w:r>
      <w:r w:rsidR="67880B0F" w:rsidRPr="46D4A434">
        <w:rPr>
          <w:rFonts w:ascii="Arial" w:eastAsia="Arial" w:hAnsi="Arial" w:cs="Arial"/>
          <w:color w:val="000000"/>
        </w:rPr>
        <w:t xml:space="preserve"> this removal is to the sludge</w:t>
      </w:r>
      <w:r w:rsidR="28AF2E7F" w:rsidRPr="46D4A434">
        <w:rPr>
          <w:rFonts w:ascii="Arial" w:eastAsia="Arial" w:hAnsi="Arial" w:cs="Arial"/>
          <w:color w:val="000000"/>
        </w:rPr>
        <w:t xml:space="preserve"> and</w:t>
      </w:r>
      <w:r w:rsidR="22914C40" w:rsidRPr="46D4A434">
        <w:rPr>
          <w:rFonts w:ascii="Arial" w:eastAsia="Arial" w:hAnsi="Arial" w:cs="Arial"/>
          <w:color w:val="000000"/>
        </w:rPr>
        <w:t xml:space="preserve"> subsequent use of this may present AMR risks</w:t>
      </w:r>
      <w:r w:rsidR="67880B0F" w:rsidRPr="46D4A434">
        <w:rPr>
          <w:rFonts w:ascii="Arial" w:eastAsia="Arial" w:hAnsi="Arial" w:cs="Arial"/>
          <w:color w:val="000000"/>
        </w:rPr>
        <w:t xml:space="preserve">. </w:t>
      </w:r>
      <w:r w:rsidR="0EF7CE90" w:rsidRPr="46D4A434">
        <w:rPr>
          <w:rFonts w:ascii="Arial" w:eastAsia="Arial" w:hAnsi="Arial" w:cs="Arial"/>
          <w:color w:val="000000"/>
        </w:rPr>
        <w:t>These research findings are likely to be very</w:t>
      </w:r>
      <w:r w:rsidR="21A75F9A" w:rsidRPr="46D4A434">
        <w:rPr>
          <w:rFonts w:ascii="Arial" w:eastAsia="Arial" w:hAnsi="Arial" w:cs="Arial"/>
          <w:color w:val="000000"/>
        </w:rPr>
        <w:t xml:space="preserve"> applicable to </w:t>
      </w:r>
      <w:r w:rsidR="39382100" w:rsidRPr="46D4A434">
        <w:rPr>
          <w:rFonts w:ascii="Arial" w:eastAsia="Arial" w:hAnsi="Arial" w:cs="Arial"/>
          <w:color w:val="000000"/>
        </w:rPr>
        <w:t xml:space="preserve">Scotland. </w:t>
      </w:r>
      <w:r w:rsidR="67880B0F" w:rsidRPr="46D4A434">
        <w:rPr>
          <w:rFonts w:ascii="Arial" w:eastAsia="Arial" w:hAnsi="Arial" w:cs="Arial"/>
          <w:color w:val="000000"/>
        </w:rPr>
        <w:t>Further work in CIP</w:t>
      </w:r>
      <w:r w:rsidR="0545DFC3" w:rsidRPr="46D4A434">
        <w:rPr>
          <w:rFonts w:ascii="Arial" w:eastAsia="Arial" w:hAnsi="Arial" w:cs="Arial"/>
          <w:color w:val="000000"/>
        </w:rPr>
        <w:t xml:space="preserve"> Phase </w:t>
      </w:r>
      <w:r w:rsidR="67880B0F" w:rsidRPr="46D4A434">
        <w:rPr>
          <w:rFonts w:ascii="Arial" w:eastAsia="Arial" w:hAnsi="Arial" w:cs="Arial"/>
          <w:color w:val="000000"/>
        </w:rPr>
        <w:t xml:space="preserve">4 </w:t>
      </w:r>
      <w:r w:rsidR="44DF8DEC" w:rsidRPr="46D4A434">
        <w:rPr>
          <w:rFonts w:ascii="Arial" w:eastAsia="Arial" w:hAnsi="Arial" w:cs="Arial"/>
          <w:color w:val="000000"/>
        </w:rPr>
        <w:t>(</w:t>
      </w:r>
      <w:r w:rsidR="2047E92F" w:rsidRPr="7534CFBF">
        <w:rPr>
          <w:rFonts w:ascii="Arial" w:eastAsia="Arial" w:hAnsi="Arial" w:cs="Arial"/>
          <w:color w:val="000000"/>
        </w:rPr>
        <w:t xml:space="preserve">2023 </w:t>
      </w:r>
      <w:r w:rsidR="44DF8DEC" w:rsidRPr="46D4A434">
        <w:rPr>
          <w:rFonts w:ascii="Arial" w:eastAsia="Arial" w:hAnsi="Arial" w:cs="Arial"/>
          <w:color w:val="000000"/>
        </w:rPr>
        <w:t xml:space="preserve">to 2026) </w:t>
      </w:r>
      <w:r w:rsidR="67880B0F" w:rsidRPr="46D4A434">
        <w:rPr>
          <w:rFonts w:ascii="Arial" w:eastAsia="Arial" w:hAnsi="Arial" w:cs="Arial"/>
          <w:color w:val="000000"/>
        </w:rPr>
        <w:t>will look in more detail at how</w:t>
      </w:r>
      <w:r w:rsidR="3A6262C7" w:rsidRPr="46D4A434">
        <w:rPr>
          <w:rFonts w:ascii="Arial" w:eastAsia="Arial" w:hAnsi="Arial" w:cs="Arial"/>
          <w:color w:val="000000"/>
        </w:rPr>
        <w:t xml:space="preserve"> </w:t>
      </w:r>
      <w:r w:rsidR="15E6CF5D" w:rsidRPr="46D4A434">
        <w:rPr>
          <w:rFonts w:ascii="Arial" w:eastAsia="Arial" w:hAnsi="Arial" w:cs="Arial"/>
          <w:color w:val="000000"/>
        </w:rPr>
        <w:t>d</w:t>
      </w:r>
      <w:r w:rsidR="796A4258" w:rsidRPr="46D4A434">
        <w:rPr>
          <w:rFonts w:ascii="Arial" w:eastAsia="Arial" w:hAnsi="Arial" w:cs="Arial"/>
          <w:color w:val="000000"/>
        </w:rPr>
        <w:t>ifferent s</w:t>
      </w:r>
      <w:r w:rsidR="15E6CF5D" w:rsidRPr="46D4A434">
        <w:rPr>
          <w:rFonts w:ascii="Arial" w:eastAsia="Arial" w:hAnsi="Arial" w:cs="Arial"/>
          <w:color w:val="000000"/>
        </w:rPr>
        <w:t xml:space="preserve">ludge treatment </w:t>
      </w:r>
      <w:r w:rsidR="30B768AD" w:rsidRPr="46D4A434">
        <w:rPr>
          <w:rFonts w:ascii="Arial" w:eastAsia="Arial" w:hAnsi="Arial" w:cs="Arial"/>
          <w:color w:val="000000"/>
        </w:rPr>
        <w:t xml:space="preserve">practices influence AMR </w:t>
      </w:r>
      <w:r w:rsidR="3A59F9AF" w:rsidRPr="46D4A434">
        <w:rPr>
          <w:rFonts w:ascii="Arial" w:eastAsia="Arial" w:hAnsi="Arial" w:cs="Arial"/>
          <w:color w:val="000000"/>
        </w:rPr>
        <w:t xml:space="preserve">in the final sludge and the </w:t>
      </w:r>
      <w:r w:rsidR="403764AB" w:rsidRPr="46D4A434">
        <w:rPr>
          <w:rFonts w:ascii="Arial" w:eastAsia="Arial" w:hAnsi="Arial" w:cs="Arial"/>
          <w:color w:val="000000"/>
        </w:rPr>
        <w:t xml:space="preserve">potential AMR risks when sludge </w:t>
      </w:r>
      <w:r w:rsidR="3A59F9AF" w:rsidRPr="46D4A434">
        <w:rPr>
          <w:rFonts w:ascii="Arial" w:eastAsia="Arial" w:hAnsi="Arial" w:cs="Arial"/>
          <w:color w:val="000000"/>
        </w:rPr>
        <w:t>is applied to land</w:t>
      </w:r>
      <w:bookmarkStart w:id="0" w:name="_Int_8Ue4fb2f"/>
      <w:r w:rsidR="3A59F9AF" w:rsidRPr="46D4A434">
        <w:rPr>
          <w:rFonts w:ascii="Arial" w:eastAsia="Arial" w:hAnsi="Arial" w:cs="Arial"/>
          <w:color w:val="000000"/>
        </w:rPr>
        <w:t>.</w:t>
      </w:r>
      <w:r w:rsidR="67880B0F" w:rsidRPr="46D4A434">
        <w:rPr>
          <w:rFonts w:ascii="Arial" w:eastAsia="Arial" w:hAnsi="Arial" w:cs="Arial"/>
          <w:color w:val="000000"/>
        </w:rPr>
        <w:t xml:space="preserve"> </w:t>
      </w:r>
      <w:r w:rsidRPr="46D4A434">
        <w:rPr>
          <w:rFonts w:ascii="Arial" w:eastAsia="Arial" w:hAnsi="Arial" w:cs="Arial"/>
        </w:rPr>
        <w:t xml:space="preserve"> </w:t>
      </w:r>
      <w:bookmarkEnd w:id="0"/>
    </w:p>
    <w:p w14:paraId="208FBCE1" w14:textId="2F14B925" w:rsidR="00236552" w:rsidRPr="00B83213" w:rsidRDefault="2C77133B" w:rsidP="00C3338E">
      <w:pPr>
        <w:rPr>
          <w:rFonts w:ascii="Arial" w:eastAsia="Arial" w:hAnsi="Arial" w:cs="Arial"/>
        </w:rPr>
      </w:pPr>
      <w:r w:rsidRPr="7534CFBF">
        <w:rPr>
          <w:rFonts w:ascii="Arial" w:eastAsia="Arial" w:hAnsi="Arial" w:cs="Arial"/>
        </w:rPr>
        <w:t xml:space="preserve">Building on the success of Scotland’s surveillance of the SARS-COV-2 virus in wastewater </w:t>
      </w:r>
      <w:r w:rsidR="4B39D6E8" w:rsidRPr="7534CFBF">
        <w:rPr>
          <w:rFonts w:ascii="Arial" w:eastAsia="Arial" w:hAnsi="Arial" w:cs="Arial"/>
        </w:rPr>
        <w:t xml:space="preserve">during the COVID pandemic, the Scottish Government commissioned CREW to review </w:t>
      </w:r>
      <w:r w:rsidR="0DEF9EED" w:rsidRPr="7534CFBF">
        <w:t>wastewater monitoring applications for public health and novel aspects of environmental quality</w:t>
      </w:r>
      <w:r w:rsidR="00D35448" w:rsidRPr="7534CFBF">
        <w:rPr>
          <w:rStyle w:val="FootnoteReference"/>
        </w:rPr>
        <w:footnoteReference w:id="20"/>
      </w:r>
      <w:r w:rsidR="7AE96772" w:rsidRPr="7534CFBF">
        <w:t xml:space="preserve">. </w:t>
      </w:r>
      <w:r w:rsidR="3FDDC5B7" w:rsidRPr="7534CFBF">
        <w:rPr>
          <w:rFonts w:ascii="Arial" w:eastAsia="Arial" w:hAnsi="Arial" w:cs="Arial"/>
        </w:rPr>
        <w:t>The report recognised that the ability of wastewater-based epidemiology to monitor long term trends will be key for AMR surveillance, as observing population-wide trends over several years will be required</w:t>
      </w:r>
      <w:r w:rsidR="5ED7F7C9" w:rsidRPr="7534CFBF">
        <w:rPr>
          <w:rFonts w:ascii="Arial" w:eastAsia="Arial" w:hAnsi="Arial" w:cs="Arial"/>
        </w:rPr>
        <w:t>.</w:t>
      </w:r>
    </w:p>
    <w:p w14:paraId="196DC920" w14:textId="04A148A8" w:rsidR="00236552" w:rsidRPr="00B83213" w:rsidRDefault="2BF568D8" w:rsidP="00C3338E">
      <w:r w:rsidRPr="7534CFBF">
        <w:t>The</w:t>
      </w:r>
      <w:r w:rsidR="23BC3F98" w:rsidRPr="7534CFBF">
        <w:t xml:space="preserve"> </w:t>
      </w:r>
      <w:r w:rsidRPr="7534CFBF">
        <w:t xml:space="preserve">Scottish Government commissioned </w:t>
      </w:r>
      <w:r w:rsidR="7CE4A9E0" w:rsidRPr="7534CFBF">
        <w:t xml:space="preserve">CREW </w:t>
      </w:r>
      <w:r w:rsidR="787209EA" w:rsidRPr="7534CFBF">
        <w:t xml:space="preserve">in 2021 </w:t>
      </w:r>
      <w:r w:rsidRPr="7534CFBF">
        <w:t>to</w:t>
      </w:r>
      <w:r w:rsidR="0685C72C" w:rsidRPr="7534CFBF">
        <w:t xml:space="preserve"> review activities</w:t>
      </w:r>
      <w:r w:rsidR="71EE7274" w:rsidRPr="7534CFBF">
        <w:t xml:space="preserve"> relating to AMR research associated with Scotland that had taken place in the </w:t>
      </w:r>
      <w:r w:rsidR="184ED42D" w:rsidRPr="7534CFBF">
        <w:t>previous</w:t>
      </w:r>
      <w:r w:rsidR="71EE7274" w:rsidRPr="7534CFBF">
        <w:t xml:space="preserve"> five years, and to relate them to the UK National Action Plan (2019-2024). It generated a register of activities: the Scottish One Health AMR register </w:t>
      </w:r>
      <w:r w:rsidR="6886ABAA" w:rsidRPr="7534CFBF">
        <w:t>(SOHAR)</w:t>
      </w:r>
      <w:r w:rsidR="00D35448" w:rsidRPr="7534CFBF">
        <w:rPr>
          <w:rStyle w:val="FootnoteReference"/>
        </w:rPr>
        <w:footnoteReference w:id="21"/>
      </w:r>
      <w:r w:rsidR="6886ABAA" w:rsidRPr="7534CFBF">
        <w:t xml:space="preserve"> and consideration i</w:t>
      </w:r>
      <w:r w:rsidR="50515F62" w:rsidRPr="7534CFBF">
        <w:t xml:space="preserve">s being given to developing this as </w:t>
      </w:r>
      <w:r w:rsidR="5A1542ED" w:rsidRPr="7534CFBF">
        <w:t xml:space="preserve">an </w:t>
      </w:r>
      <w:r w:rsidR="66D0570B" w:rsidRPr="7534CFBF">
        <w:t xml:space="preserve">easily accessible </w:t>
      </w:r>
      <w:r w:rsidR="50515F62" w:rsidRPr="7534CFBF">
        <w:t>electronic register</w:t>
      </w:r>
      <w:r w:rsidR="69454580" w:rsidRPr="7534CFBF">
        <w:t xml:space="preserve"> that can be used to keep this record up to date</w:t>
      </w:r>
      <w:r w:rsidR="50515F62" w:rsidRPr="7534CFBF">
        <w:t>.</w:t>
      </w:r>
    </w:p>
    <w:p w14:paraId="2AEE15AB" w14:textId="2126A1A0" w:rsidR="3533FD7F" w:rsidRDefault="28CC2E56" w:rsidP="00C3338E">
      <w:r>
        <w:lastRenderedPageBreak/>
        <w:t>The Scottish Government commissioned Scotland’s Centre of Expertise for Waters to produce a Policy Note and Policy Brief on AMR in Scotland’s Waters</w:t>
      </w:r>
      <w:r w:rsidR="3533FD7F" w:rsidRPr="70D4B1FE">
        <w:rPr>
          <w:rStyle w:val="FootnoteReference"/>
        </w:rPr>
        <w:footnoteReference w:id="22"/>
      </w:r>
      <w:r w:rsidR="67D2638B">
        <w:t>. This</w:t>
      </w:r>
      <w:r>
        <w:t xml:space="preserve"> will help </w:t>
      </w:r>
      <w:r w:rsidR="2CF990E1">
        <w:t xml:space="preserve">to </w:t>
      </w:r>
      <w:r>
        <w:t>inform SEPA’s future work on this topic.</w:t>
      </w:r>
    </w:p>
    <w:p w14:paraId="6ABE07B2" w14:textId="6ECE8875" w:rsidR="00236552" w:rsidRPr="00B83213" w:rsidRDefault="6130D367" w:rsidP="7534CFBF">
      <w:pPr>
        <w:pStyle w:val="Heading1"/>
        <w:spacing w:line="360" w:lineRule="auto"/>
        <w:jc w:val="both"/>
      </w:pPr>
      <w:r>
        <w:t>Looking to the future</w:t>
      </w:r>
      <w:r w:rsidR="23BC3F98">
        <w:t xml:space="preserve">  </w:t>
      </w:r>
    </w:p>
    <w:p w14:paraId="444D48C8" w14:textId="10799161" w:rsidR="6CEC7DDE" w:rsidRDefault="457291AC" w:rsidP="6B43C000">
      <w:r w:rsidRPr="46D4A434">
        <w:t xml:space="preserve">In June 2023 the Council of the European Union </w:t>
      </w:r>
      <w:r w:rsidR="58EC60D8" w:rsidRPr="46D4A434">
        <w:t>adopted</w:t>
      </w:r>
      <w:r w:rsidRPr="46D4A434">
        <w:t xml:space="preserve"> a recommendation</w:t>
      </w:r>
      <w:r w:rsidR="6CEC7DDE" w:rsidRPr="46D4A434">
        <w:rPr>
          <w:rStyle w:val="FootnoteReference"/>
        </w:rPr>
        <w:footnoteReference w:id="23"/>
      </w:r>
      <w:r w:rsidRPr="46D4A434">
        <w:t xml:space="preserve"> on stepping up EU actions to combat AMR</w:t>
      </w:r>
      <w:r w:rsidR="1049EE15" w:rsidRPr="46D4A434">
        <w:t>, including a requirement for more work to be done on the environmental dimension of AMR (</w:t>
      </w:r>
      <w:proofErr w:type="gramStart"/>
      <w:r w:rsidR="51E0C307" w:rsidRPr="46D4A434">
        <w:t>e.g.</w:t>
      </w:r>
      <w:proofErr w:type="gramEnd"/>
      <w:r w:rsidR="51E0C307" w:rsidRPr="46D4A434">
        <w:t xml:space="preserve"> surveillance, assessment and management) as part of a One Health approach. </w:t>
      </w:r>
      <w:r w:rsidR="1049EE15" w:rsidRPr="46D4A434">
        <w:t xml:space="preserve"> </w:t>
      </w:r>
      <w:r w:rsidRPr="46D4A434">
        <w:t>The recast Urban Wastewater Treatment Directive (UWWTD)</w:t>
      </w:r>
      <w:r w:rsidR="6CEC7DDE" w:rsidRPr="46D4A434">
        <w:rPr>
          <w:rStyle w:val="FootnoteReference"/>
        </w:rPr>
        <w:footnoteReference w:id="24"/>
      </w:r>
      <w:r w:rsidRPr="46D4A434">
        <w:t xml:space="preserve"> </w:t>
      </w:r>
      <w:r w:rsidR="1C4644B0">
        <w:t>proposes the</w:t>
      </w:r>
      <w:r w:rsidRPr="46D4A434">
        <w:t xml:space="preserve"> monitoring of large wastewater treatment works for AMR. </w:t>
      </w:r>
      <w:r w:rsidR="4030AF65" w:rsidRPr="46D4A434">
        <w:t xml:space="preserve">There are also EU proposals to update the Water Framework, the Groundwater and the </w:t>
      </w:r>
      <w:r w:rsidR="5D07A510" w:rsidRPr="46D4A434">
        <w:t>Environmental</w:t>
      </w:r>
      <w:r w:rsidR="4030AF65" w:rsidRPr="46D4A434">
        <w:t xml:space="preserve"> Quality Standards</w:t>
      </w:r>
      <w:r w:rsidR="6EAB2704" w:rsidRPr="46D4A434">
        <w:t xml:space="preserve"> Directives</w:t>
      </w:r>
      <w:r w:rsidR="2E15C21F" w:rsidRPr="46D4A434">
        <w:t xml:space="preserve"> which </w:t>
      </w:r>
      <w:r w:rsidR="439236CA">
        <w:t>aims to</w:t>
      </w:r>
      <w:r w:rsidR="2E15C21F" w:rsidRPr="46D4A434">
        <w:t xml:space="preserve"> strengthen AMR control</w:t>
      </w:r>
      <w:r w:rsidR="68CCD99F" w:rsidRPr="46D4A434">
        <w:t xml:space="preserve"> and develop a methodology for the measurement and monitoring of antimicrobial resistance genes in surface water and groundwater, with a view to listing</w:t>
      </w:r>
      <w:r w:rsidR="1AFF3244" w:rsidRPr="46D4A434">
        <w:t xml:space="preserve"> it as a pollutant in future</w:t>
      </w:r>
      <w:r w:rsidR="6EAB2704" w:rsidRPr="46D4A434">
        <w:t xml:space="preserve">. </w:t>
      </w:r>
      <w:r w:rsidR="65B7FA34" w:rsidRPr="46D4A434">
        <w:t>In 2022 the European Commis</w:t>
      </w:r>
      <w:r w:rsidR="005C1785">
        <w:t>s</w:t>
      </w:r>
      <w:r w:rsidR="65B7FA34" w:rsidRPr="46D4A434">
        <w:t xml:space="preserve">ion proposed the </w:t>
      </w:r>
      <w:r w:rsidR="3208BA26" w:rsidRPr="46D4A434">
        <w:t xml:space="preserve">addition of new </w:t>
      </w:r>
      <w:r w:rsidR="23A1117D" w:rsidRPr="46D4A434">
        <w:t xml:space="preserve">environmental </w:t>
      </w:r>
      <w:r w:rsidR="3208BA26" w:rsidRPr="46D4A434">
        <w:t xml:space="preserve">standards which include three antibiotics. </w:t>
      </w:r>
      <w:r w:rsidRPr="46D4A434">
        <w:t>These shifts in focus towards a greater understanding and control of AMR will start to influence and inform Scottish policy and legislation in this area in due course.</w:t>
      </w:r>
    </w:p>
    <w:p w14:paraId="7D0EF945" w14:textId="5E21B9FE" w:rsidR="00236552" w:rsidRPr="00B83213" w:rsidRDefault="0C31648A" w:rsidP="00C3338E">
      <w:pPr>
        <w:rPr>
          <w:rFonts w:ascii="Calibri" w:eastAsia="Calibri" w:hAnsi="Calibri" w:cs="Calibri"/>
        </w:rPr>
      </w:pPr>
      <w:r w:rsidRPr="7534CFBF">
        <w:rPr>
          <w:rFonts w:ascii="Arial" w:eastAsia="Arial" w:hAnsi="Arial" w:cs="Arial"/>
        </w:rPr>
        <w:t xml:space="preserve">SEPA recognises that there are many sectors and activities that it regulates </w:t>
      </w:r>
      <w:r w:rsidR="23BC3F98" w:rsidRPr="7534CFBF">
        <w:rPr>
          <w:rFonts w:ascii="Arial" w:eastAsia="Arial" w:hAnsi="Arial" w:cs="Arial"/>
        </w:rPr>
        <w:t>tha</w:t>
      </w:r>
      <w:r w:rsidR="55DAC566" w:rsidRPr="7534CFBF">
        <w:rPr>
          <w:rFonts w:ascii="Arial" w:eastAsia="Arial" w:hAnsi="Arial" w:cs="Arial"/>
        </w:rPr>
        <w:t xml:space="preserve">t may </w:t>
      </w:r>
      <w:r w:rsidR="23BC3F98" w:rsidRPr="7534CFBF">
        <w:rPr>
          <w:rFonts w:ascii="Arial" w:eastAsia="Arial" w:hAnsi="Arial" w:cs="Arial"/>
        </w:rPr>
        <w:t>exacerbate the spread of AMR through the environment</w:t>
      </w:r>
      <w:r w:rsidR="27A439A3" w:rsidRPr="7534CFBF">
        <w:rPr>
          <w:rFonts w:ascii="Arial" w:eastAsia="Arial" w:hAnsi="Arial" w:cs="Arial"/>
        </w:rPr>
        <w:t>.</w:t>
      </w:r>
      <w:r w:rsidR="23BC3F98" w:rsidRPr="7534CFBF">
        <w:rPr>
          <w:rFonts w:ascii="Arial" w:eastAsia="Arial" w:hAnsi="Arial" w:cs="Arial"/>
        </w:rPr>
        <w:t xml:space="preserve"> The work of the AESS group and associated projects (as detailed above) will provide important evidence to inform future SEPA work on this topic. </w:t>
      </w:r>
      <w:r w:rsidR="23BC3F98" w:rsidRPr="7534CFBF">
        <w:rPr>
          <w:rFonts w:ascii="Arial" w:eastAsia="Arial" w:hAnsi="Arial" w:cs="Arial"/>
          <w:color w:val="000000"/>
        </w:rPr>
        <w:t xml:space="preserve">There is a need to consider antimicrobial resistant microbes, antimicrobial resistance genes, and a wide range of common pollutants (such as heavy metals, biocides, and pesticides) as well as antimicrobial compounds (such as antibiotics) in air, </w:t>
      </w:r>
      <w:proofErr w:type="gramStart"/>
      <w:r w:rsidR="23BC3F98" w:rsidRPr="7534CFBF">
        <w:rPr>
          <w:rFonts w:ascii="Arial" w:eastAsia="Arial" w:hAnsi="Arial" w:cs="Arial"/>
          <w:color w:val="000000"/>
        </w:rPr>
        <w:t>land</w:t>
      </w:r>
      <w:proofErr w:type="gramEnd"/>
      <w:r w:rsidR="23BC3F98" w:rsidRPr="7534CFBF">
        <w:rPr>
          <w:rFonts w:ascii="Arial" w:eastAsia="Arial" w:hAnsi="Arial" w:cs="Arial"/>
          <w:color w:val="000000"/>
        </w:rPr>
        <w:t xml:space="preserve"> and water environments in developing interventions to minimise the spread of AMR in the environment. </w:t>
      </w:r>
      <w:r w:rsidR="23BC3F98" w:rsidRPr="7534CFBF">
        <w:rPr>
          <w:rFonts w:ascii="Arial" w:eastAsia="Arial" w:hAnsi="Arial" w:cs="Arial"/>
        </w:rPr>
        <w:t xml:space="preserve">There is also a need to consider sources, pathways and receptors for the selection, dissemination, and transmission of AMR through the environment and design and target the </w:t>
      </w:r>
      <w:r w:rsidR="23BC3F98" w:rsidRPr="7534CFBF">
        <w:rPr>
          <w:rFonts w:ascii="Arial" w:eastAsia="Arial" w:hAnsi="Arial" w:cs="Arial"/>
        </w:rPr>
        <w:lastRenderedPageBreak/>
        <w:t>delivery of interventions in such a way that provides cost-effective and lasting protection and improvement.</w:t>
      </w:r>
      <w:r w:rsidR="23BC3F98" w:rsidRPr="70D4B1FE">
        <w:rPr>
          <w:rFonts w:ascii="Arial" w:eastAsia="Arial" w:hAnsi="Arial" w:cs="Arial"/>
        </w:rPr>
        <w:t xml:space="preserve"> </w:t>
      </w:r>
    </w:p>
    <w:p w14:paraId="0D846840" w14:textId="187E4E64" w:rsidR="46D4A434" w:rsidRPr="003A7313" w:rsidRDefault="23BC3F98" w:rsidP="003A7313">
      <w:pPr>
        <w:rPr>
          <w:rFonts w:ascii="Arial" w:eastAsia="Arial" w:hAnsi="Arial" w:cs="Arial"/>
        </w:rPr>
      </w:pPr>
      <w:r w:rsidRPr="0DF3C723">
        <w:rPr>
          <w:rFonts w:ascii="Arial" w:eastAsia="Arial" w:hAnsi="Arial" w:cs="Arial"/>
        </w:rPr>
        <w:t xml:space="preserve">We do not yet have enough </w:t>
      </w:r>
      <w:r w:rsidR="00DC17E8" w:rsidRPr="0DF3C723">
        <w:rPr>
          <w:rFonts w:ascii="Arial" w:eastAsia="Arial" w:hAnsi="Arial" w:cs="Arial"/>
        </w:rPr>
        <w:t xml:space="preserve">scientific </w:t>
      </w:r>
      <w:r w:rsidRPr="0DF3C723">
        <w:rPr>
          <w:rFonts w:ascii="Arial" w:eastAsia="Arial" w:hAnsi="Arial" w:cs="Arial"/>
        </w:rPr>
        <w:t xml:space="preserve">evidence to </w:t>
      </w:r>
      <w:r w:rsidR="001D3686" w:rsidRPr="0DF3C723">
        <w:rPr>
          <w:rFonts w:ascii="Arial" w:eastAsia="Arial" w:hAnsi="Arial" w:cs="Arial"/>
        </w:rPr>
        <w:t xml:space="preserve">develop </w:t>
      </w:r>
      <w:r w:rsidRPr="0DF3C723">
        <w:rPr>
          <w:rFonts w:ascii="Arial" w:eastAsia="Arial" w:hAnsi="Arial" w:cs="Arial"/>
        </w:rPr>
        <w:t xml:space="preserve">environmental standards for AMR </w:t>
      </w:r>
      <w:r w:rsidR="4A4EBCA1" w:rsidRPr="70D4B1FE">
        <w:rPr>
          <w:rFonts w:ascii="Arial" w:eastAsia="Arial" w:hAnsi="Arial" w:cs="Arial"/>
        </w:rPr>
        <w:t xml:space="preserve">and set limits on </w:t>
      </w:r>
      <w:r w:rsidR="006B46AA" w:rsidRPr="0DF3C723">
        <w:rPr>
          <w:rFonts w:ascii="Arial" w:eastAsia="Arial" w:hAnsi="Arial" w:cs="Arial"/>
        </w:rPr>
        <w:t xml:space="preserve">its discharge </w:t>
      </w:r>
      <w:r w:rsidR="4A4EBCA1" w:rsidRPr="70D4B1FE">
        <w:rPr>
          <w:rFonts w:ascii="Arial" w:eastAsia="Arial" w:hAnsi="Arial" w:cs="Arial"/>
        </w:rPr>
        <w:t xml:space="preserve">to </w:t>
      </w:r>
      <w:r w:rsidR="006B46AA" w:rsidRPr="0DF3C723">
        <w:rPr>
          <w:rFonts w:ascii="Arial" w:eastAsia="Arial" w:hAnsi="Arial" w:cs="Arial"/>
        </w:rPr>
        <w:t xml:space="preserve">the environment </w:t>
      </w:r>
      <w:r w:rsidRPr="0DF3C723">
        <w:rPr>
          <w:rFonts w:ascii="Arial" w:eastAsia="Arial" w:hAnsi="Arial" w:cs="Arial"/>
        </w:rPr>
        <w:t xml:space="preserve">and </w:t>
      </w:r>
      <w:r w:rsidR="579BDDD7" w:rsidRPr="70D4B1FE">
        <w:rPr>
          <w:rFonts w:ascii="Arial" w:eastAsia="Arial" w:hAnsi="Arial" w:cs="Arial"/>
        </w:rPr>
        <w:t xml:space="preserve">such regulation </w:t>
      </w:r>
      <w:r w:rsidRPr="0DF3C723">
        <w:rPr>
          <w:rFonts w:ascii="Arial" w:eastAsia="Arial" w:hAnsi="Arial" w:cs="Arial"/>
        </w:rPr>
        <w:t xml:space="preserve">may not be the best way to address it. </w:t>
      </w:r>
      <w:r w:rsidR="28DAEA9B" w:rsidRPr="70D4B1FE">
        <w:rPr>
          <w:rFonts w:ascii="Arial" w:eastAsia="Arial" w:hAnsi="Arial" w:cs="Arial"/>
        </w:rPr>
        <w:t xml:space="preserve"> </w:t>
      </w:r>
      <w:r w:rsidRPr="0DF3C723">
        <w:rPr>
          <w:rFonts w:ascii="Arial" w:eastAsia="Arial" w:hAnsi="Arial" w:cs="Arial"/>
        </w:rPr>
        <w:t xml:space="preserve">Rather, reducing the use of antimicrobials and the discharge of untreated effluents, combined with a review of sludge management and use practices may </w:t>
      </w:r>
      <w:r w:rsidR="227B8495" w:rsidRPr="70D4B1FE">
        <w:rPr>
          <w:rFonts w:ascii="Arial" w:eastAsia="Arial" w:hAnsi="Arial" w:cs="Arial"/>
        </w:rPr>
        <w:t xml:space="preserve">provide a more effective and sustainable way of </w:t>
      </w:r>
      <w:r w:rsidR="549F5809" w:rsidRPr="70D4B1FE">
        <w:rPr>
          <w:rFonts w:ascii="Arial" w:eastAsia="Arial" w:hAnsi="Arial" w:cs="Arial"/>
        </w:rPr>
        <w:t>minimising th</w:t>
      </w:r>
      <w:r w:rsidR="6779D67D" w:rsidRPr="70D4B1FE">
        <w:rPr>
          <w:rFonts w:ascii="Arial" w:eastAsia="Arial" w:hAnsi="Arial" w:cs="Arial"/>
        </w:rPr>
        <w:t xml:space="preserve">is </w:t>
      </w:r>
      <w:r w:rsidRPr="0DF3C723">
        <w:rPr>
          <w:rFonts w:ascii="Arial" w:eastAsia="Arial" w:hAnsi="Arial" w:cs="Arial"/>
        </w:rPr>
        <w:t>risk</w:t>
      </w:r>
      <w:r w:rsidR="52CFABFF" w:rsidRPr="70D4B1FE">
        <w:rPr>
          <w:rFonts w:ascii="Arial" w:eastAsia="Arial" w:hAnsi="Arial" w:cs="Arial"/>
        </w:rPr>
        <w:t>.</w:t>
      </w:r>
      <w:r w:rsidRPr="0DF3C723">
        <w:rPr>
          <w:rFonts w:ascii="Arial" w:eastAsia="Arial" w:hAnsi="Arial" w:cs="Arial"/>
        </w:rPr>
        <w:t xml:space="preserve"> SEPA is actively exploring these options in collaboration with partner organisations. AMR is a complex global challenge</w:t>
      </w:r>
      <w:r w:rsidR="776D37B9" w:rsidRPr="70D4B1FE">
        <w:rPr>
          <w:rFonts w:ascii="Arial" w:eastAsia="Arial" w:hAnsi="Arial" w:cs="Arial"/>
        </w:rPr>
        <w:t>,</w:t>
      </w:r>
      <w:r w:rsidRPr="0DF3C723">
        <w:rPr>
          <w:rFonts w:ascii="Arial" w:eastAsia="Arial" w:hAnsi="Arial" w:cs="Arial"/>
        </w:rPr>
        <w:t xml:space="preserve"> and one of </w:t>
      </w:r>
      <w:proofErr w:type="gramStart"/>
      <w:r w:rsidRPr="0DF3C723">
        <w:rPr>
          <w:rFonts w:ascii="Arial" w:eastAsia="Arial" w:hAnsi="Arial" w:cs="Arial"/>
        </w:rPr>
        <w:t>a number of</w:t>
      </w:r>
      <w:proofErr w:type="gramEnd"/>
      <w:r w:rsidRPr="0DF3C723">
        <w:rPr>
          <w:rFonts w:ascii="Arial" w:eastAsia="Arial" w:hAnsi="Arial" w:cs="Arial"/>
        </w:rPr>
        <w:t xml:space="preserve"> issues of increasing environmental concern that are difficult to deal with using traditional pollution control measures and require multi</w:t>
      </w:r>
      <w:r w:rsidR="2DD4560B" w:rsidRPr="0DF3C723">
        <w:rPr>
          <w:rFonts w:ascii="Arial" w:eastAsia="Arial" w:hAnsi="Arial" w:cs="Arial"/>
        </w:rPr>
        <w:t>-</w:t>
      </w:r>
      <w:r w:rsidRPr="0DF3C723">
        <w:rPr>
          <w:rFonts w:ascii="Arial" w:eastAsia="Arial" w:hAnsi="Arial" w:cs="Arial"/>
        </w:rPr>
        <w:t>agency working through a One Health approach</w:t>
      </w:r>
      <w:r w:rsidRPr="70D4B1FE">
        <w:rPr>
          <w:rStyle w:val="FootnoteReference"/>
          <w:rFonts w:ascii="Arial" w:eastAsia="Arial" w:hAnsi="Arial" w:cs="Arial"/>
        </w:rPr>
        <w:footnoteReference w:id="25"/>
      </w:r>
      <w:r w:rsidR="4C74734E" w:rsidRPr="70D4B1FE">
        <w:rPr>
          <w:rFonts w:ascii="Arial" w:eastAsia="Arial" w:hAnsi="Arial" w:cs="Arial"/>
        </w:rPr>
        <w:t>.</w:t>
      </w:r>
      <w:r w:rsidRPr="0DF3C723">
        <w:rPr>
          <w:rFonts w:ascii="Arial" w:eastAsia="Arial" w:hAnsi="Arial" w:cs="Arial"/>
        </w:rPr>
        <w:t xml:space="preserve">  </w:t>
      </w:r>
    </w:p>
    <w:p w14:paraId="30809DF6" w14:textId="77777777" w:rsidR="00297A90" w:rsidRDefault="7EFEDBC7" w:rsidP="46D4A434">
      <w:pPr>
        <w:pStyle w:val="Heading1"/>
      </w:pPr>
      <w:r w:rsidRPr="46D4A434">
        <w:lastRenderedPageBreak/>
        <w:t>Appendix</w:t>
      </w:r>
    </w:p>
    <w:p w14:paraId="38613CC8" w14:textId="77777777" w:rsidR="00297A90" w:rsidRDefault="00B54CF4" w:rsidP="00297A90">
      <w:pPr>
        <w:keepNext/>
      </w:pPr>
      <w:bookmarkStart w:id="1" w:name="_Hlk135317034"/>
      <w:bookmarkEnd w:id="1"/>
      <w:r>
        <w:br/>
      </w:r>
      <w:r w:rsidR="4E87DC4D">
        <w:rPr>
          <w:noProof/>
        </w:rPr>
        <w:drawing>
          <wp:inline distT="0" distB="0" distL="0" distR="0" wp14:anchorId="3DA8A44F" wp14:editId="53FCEF3B">
            <wp:extent cx="6529192" cy="3971925"/>
            <wp:effectExtent l="0" t="0" r="0" b="0"/>
            <wp:docPr id="1202240978" name="Picture 1202240978" descr="Pathways of AMR through the environment and potential points of regulatory interven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240978" name="Picture 1202240978" descr="Pathways of AMR through the environment and potential points of regulatory intervention">
                      <a:extLst>
                        <a:ext uri="{C183D7F6-B498-43B3-948B-1728B52AA6E4}">
                          <adec:decorative xmlns:adec="http://schemas.microsoft.com/office/drawing/2017/decorative" val="0"/>
                        </a:ext>
                      </a:extLst>
                    </pic:cNvPr>
                    <pic:cNvPicPr/>
                  </pic:nvPicPr>
                  <pic:blipFill>
                    <a:blip r:embed="rId15">
                      <a:extLst>
                        <a:ext uri="{28A0092B-C50C-407E-A947-70E740481C1C}">
                          <a14:useLocalDpi xmlns:a14="http://schemas.microsoft.com/office/drawing/2010/main" val="0"/>
                        </a:ext>
                      </a:extLst>
                    </a:blip>
                    <a:stretch>
                      <a:fillRect/>
                    </a:stretch>
                  </pic:blipFill>
                  <pic:spPr>
                    <a:xfrm>
                      <a:off x="0" y="0"/>
                      <a:ext cx="6529192" cy="3971925"/>
                    </a:xfrm>
                    <a:prstGeom prst="rect">
                      <a:avLst/>
                    </a:prstGeom>
                  </pic:spPr>
                </pic:pic>
              </a:graphicData>
            </a:graphic>
          </wp:inline>
        </w:drawing>
      </w:r>
    </w:p>
    <w:p w14:paraId="65DA292E" w14:textId="559ADF99" w:rsidR="00B54CF4" w:rsidRPr="00297A90" w:rsidRDefault="00297A90" w:rsidP="00297A90">
      <w:pPr>
        <w:pStyle w:val="Caption"/>
        <w:spacing w:line="360" w:lineRule="auto"/>
        <w:rPr>
          <w:sz w:val="28"/>
          <w:szCs w:val="28"/>
        </w:rPr>
      </w:pPr>
      <w:r w:rsidRPr="00297A90">
        <w:rPr>
          <w:sz w:val="28"/>
          <w:szCs w:val="28"/>
        </w:rPr>
        <w:t xml:space="preserve">Figure </w:t>
      </w:r>
      <w:r w:rsidRPr="00297A90">
        <w:rPr>
          <w:sz w:val="28"/>
          <w:szCs w:val="28"/>
        </w:rPr>
        <w:fldChar w:fldCharType="begin"/>
      </w:r>
      <w:r w:rsidRPr="00297A90">
        <w:rPr>
          <w:sz w:val="28"/>
          <w:szCs w:val="28"/>
        </w:rPr>
        <w:instrText xml:space="preserve"> SEQ Figure \* ARABIC </w:instrText>
      </w:r>
      <w:r w:rsidRPr="00297A90">
        <w:rPr>
          <w:sz w:val="28"/>
          <w:szCs w:val="28"/>
        </w:rPr>
        <w:fldChar w:fldCharType="separate"/>
      </w:r>
      <w:r w:rsidRPr="00297A90">
        <w:rPr>
          <w:noProof/>
          <w:sz w:val="28"/>
          <w:szCs w:val="28"/>
        </w:rPr>
        <w:t>1</w:t>
      </w:r>
      <w:r w:rsidRPr="00297A90">
        <w:rPr>
          <w:sz w:val="28"/>
          <w:szCs w:val="28"/>
        </w:rPr>
        <w:fldChar w:fldCharType="end"/>
      </w:r>
      <w:r w:rsidRPr="00297A90">
        <w:rPr>
          <w:sz w:val="28"/>
          <w:szCs w:val="28"/>
        </w:rPr>
        <w:t>: Regulatory interests that impact on human sources of antimicrobials and antimicrobial resistance in the environment (Source: UK National AMR Action Plan 2019-2024)</w:t>
      </w:r>
    </w:p>
    <w:p w14:paraId="1488363A" w14:textId="590F7D77" w:rsidR="00B54CF4" w:rsidRDefault="00B54CF4" w:rsidP="46D4A434"/>
    <w:p w14:paraId="311FCC90" w14:textId="77777777" w:rsidR="00297A90" w:rsidRDefault="00297A90" w:rsidP="46D4A434"/>
    <w:p w14:paraId="388A9272" w14:textId="77777777" w:rsidR="0005489A" w:rsidRDefault="0005489A" w:rsidP="46D4A434"/>
    <w:p w14:paraId="077FCA52" w14:textId="77777777" w:rsidR="0005489A" w:rsidRDefault="0005489A" w:rsidP="46D4A434"/>
    <w:p w14:paraId="1BBA53A9" w14:textId="77777777" w:rsidR="0005489A" w:rsidRPr="00B54CF4" w:rsidRDefault="0005489A" w:rsidP="46D4A434"/>
    <w:p w14:paraId="36CFDD4D" w14:textId="347F9331" w:rsidR="00B54CF4" w:rsidRPr="007E560E" w:rsidRDefault="00B54CF4" w:rsidP="46D4A434">
      <w:pPr>
        <w:rPr>
          <w:rFonts w:ascii="Arial" w:hAnsi="Arial" w:cs="Arial"/>
        </w:rPr>
      </w:pPr>
      <w:r w:rsidRPr="007E560E">
        <w:rPr>
          <w:rFonts w:ascii="Arial" w:hAnsi="Arial" w:cs="Arial"/>
        </w:rPr>
        <w:lastRenderedPageBreak/>
        <w:t>For information on accessing this document in an alternative format or language</w:t>
      </w:r>
      <w:r w:rsidR="00130572" w:rsidRPr="007E560E">
        <w:rPr>
          <w:rFonts w:ascii="Arial" w:hAnsi="Arial" w:cs="Arial"/>
        </w:rPr>
        <w:t>,</w:t>
      </w:r>
      <w:r w:rsidRPr="007E560E">
        <w:rPr>
          <w:rFonts w:ascii="Arial" w:hAnsi="Arial" w:cs="Arial"/>
        </w:rPr>
        <w:t xml:space="preserve"> please contact SEPA by emailing </w:t>
      </w:r>
      <w:hyperlink r:id="rId16">
        <w:r w:rsidRPr="007E560E">
          <w:rPr>
            <w:rStyle w:val="Hyperlink"/>
            <w:rFonts w:ascii="Arial" w:hAnsi="Arial" w:cs="Arial"/>
            <w:color w:val="016574" w:themeColor="accent6"/>
          </w:rPr>
          <w:t>equalities@sepa.org.uk</w:t>
        </w:r>
      </w:hyperlink>
    </w:p>
    <w:p w14:paraId="6255AB5E" w14:textId="3C5AC1F2" w:rsidR="006243FF" w:rsidRPr="007E560E" w:rsidRDefault="00B54CF4" w:rsidP="007232E0">
      <w:pPr>
        <w:pStyle w:val="BodyText1"/>
        <w:rPr>
          <w:rFonts w:ascii="Arial" w:hAnsi="Arial" w:cs="Arial"/>
        </w:rPr>
      </w:pPr>
      <w:r w:rsidRPr="007E560E">
        <w:rPr>
          <w:rFonts w:ascii="Arial" w:hAnsi="Arial" w:cs="Arial"/>
        </w:rPr>
        <w:t>If you are a user of British Sign Language (BSL)</w:t>
      </w:r>
      <w:r w:rsidR="00130572" w:rsidRPr="007E560E">
        <w:rPr>
          <w:rFonts w:ascii="Arial" w:hAnsi="Arial" w:cs="Arial"/>
        </w:rPr>
        <w:t>,</w:t>
      </w:r>
      <w:r w:rsidRPr="007E560E">
        <w:rPr>
          <w:rFonts w:ascii="Arial" w:hAnsi="Arial" w:cs="Arial"/>
        </w:rPr>
        <w:t xml:space="preserve"> the Contact Scotland BSL service gives you access to an online interpreter</w:t>
      </w:r>
      <w:r w:rsidR="00130572" w:rsidRPr="007E560E">
        <w:rPr>
          <w:rFonts w:ascii="Arial" w:hAnsi="Arial" w:cs="Arial"/>
        </w:rPr>
        <w:t>,</w:t>
      </w:r>
      <w:r w:rsidRPr="007E560E">
        <w:rPr>
          <w:rFonts w:ascii="Arial" w:hAnsi="Arial" w:cs="Arial"/>
        </w:rPr>
        <w:t xml:space="preserve"> enabling you to communicate with us using sign language.</w:t>
      </w:r>
      <w:r w:rsidR="007232E0" w:rsidRPr="007E560E">
        <w:rPr>
          <w:rFonts w:ascii="Arial" w:hAnsi="Arial" w:cs="Arial"/>
        </w:rPr>
        <w:t xml:space="preserve"> </w:t>
      </w:r>
      <w:hyperlink r:id="rId17" w:history="1">
        <w:r w:rsidR="00290B1F" w:rsidRPr="007E560E">
          <w:rPr>
            <w:rStyle w:val="Hyperlink"/>
            <w:rFonts w:ascii="Arial" w:hAnsi="Arial" w:cs="Arial"/>
            <w:color w:val="016574"/>
          </w:rPr>
          <w:t>contactscotland-bsl.org</w:t>
        </w:r>
      </w:hyperlink>
    </w:p>
    <w:sectPr w:rsidR="006243FF" w:rsidRPr="007E560E" w:rsidSect="003949C1">
      <w:headerReference w:type="even" r:id="rId18"/>
      <w:headerReference w:type="default" r:id="rId19"/>
      <w:footerReference w:type="even" r:id="rId20"/>
      <w:footerReference w:type="default" r:id="rId21"/>
      <w:headerReference w:type="first" r:id="rId22"/>
      <w:footerReference w:type="first" r:id="rId23"/>
      <w:pgSz w:w="11900" w:h="16840"/>
      <w:pgMar w:top="839" w:right="839" w:bottom="839" w:left="839" w:header="794"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9546F" w14:textId="77777777" w:rsidR="00363B50" w:rsidRDefault="00363B50" w:rsidP="00660C79">
      <w:pPr>
        <w:spacing w:line="240" w:lineRule="auto"/>
      </w:pPr>
      <w:r>
        <w:separator/>
      </w:r>
    </w:p>
  </w:endnote>
  <w:endnote w:type="continuationSeparator" w:id="0">
    <w:p w14:paraId="574CF477" w14:textId="77777777" w:rsidR="00363B50" w:rsidRDefault="00363B50" w:rsidP="00660C79">
      <w:pPr>
        <w:spacing w:line="240" w:lineRule="auto"/>
      </w:pPr>
      <w:r>
        <w:continuationSeparator/>
      </w:r>
    </w:p>
  </w:endnote>
  <w:endnote w:type="continuationNotice" w:id="1">
    <w:p w14:paraId="6DD80784" w14:textId="77777777" w:rsidR="00363B50" w:rsidRDefault="00363B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06032" w14:textId="07B7888B" w:rsidR="00EC6A73" w:rsidRDefault="00FB4DAD" w:rsidP="007E560E">
    <w:pPr>
      <w:pStyle w:val="Footer"/>
      <w:framePr w:wrap="none" w:vAnchor="text" w:hAnchor="margin" w:xAlign="right" w:y="1"/>
      <w:rPr>
        <w:rStyle w:val="PageNumber"/>
      </w:rPr>
    </w:pPr>
    <w:r>
      <w:rPr>
        <w:noProof/>
      </w:rPr>
      <mc:AlternateContent>
        <mc:Choice Requires="wps">
          <w:drawing>
            <wp:anchor distT="0" distB="0" distL="0" distR="0" simplePos="0" relativeHeight="251663367" behindDoc="0" locked="0" layoutInCell="1" allowOverlap="1" wp14:anchorId="26FDDF57" wp14:editId="1C84C7E0">
              <wp:simplePos x="635" y="635"/>
              <wp:positionH relativeFrom="page">
                <wp:align>center</wp:align>
              </wp:positionH>
              <wp:positionV relativeFrom="page">
                <wp:align>bottom</wp:align>
              </wp:positionV>
              <wp:extent cx="443865" cy="443865"/>
              <wp:effectExtent l="0" t="0" r="11430" b="0"/>
              <wp:wrapNone/>
              <wp:docPr id="846791792" name="Text Box 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17F8A7" w14:textId="16AAE687" w:rsidR="00FB4DAD" w:rsidRPr="00FB4DAD" w:rsidRDefault="00FB4DAD" w:rsidP="00FB4DAD">
                          <w:pPr>
                            <w:spacing w:after="0"/>
                            <w:rPr>
                              <w:rFonts w:ascii="Calibri" w:eastAsia="Calibri" w:hAnsi="Calibri" w:cs="Calibri"/>
                              <w:noProof/>
                              <w:color w:val="000000"/>
                              <w:sz w:val="20"/>
                              <w:szCs w:val="20"/>
                            </w:rPr>
                          </w:pPr>
                          <w:r w:rsidRPr="00FB4DAD">
                            <w:rPr>
                              <w:rFonts w:ascii="Calibri" w:eastAsia="Calibri" w:hAnsi="Calibri" w:cs="Calibri"/>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FDDF57" id="_x0000_t202" coordsize="21600,21600" o:spt="202" path="m,l,21600r21600,l21600,xe">
              <v:stroke joinstyle="miter"/>
              <v:path gradientshapeok="t" o:connecttype="rect"/>
            </v:shapetype>
            <v:shape id="Text Box 5" o:spid="_x0000_s1029" type="#_x0000_t202" alt="PUBLIC" style="position:absolute;margin-left:0;margin-top:0;width:34.95pt;height:34.95pt;z-index:25166336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3417F8A7" w14:textId="16AAE687" w:rsidR="00FB4DAD" w:rsidRPr="00FB4DAD" w:rsidRDefault="00FB4DAD" w:rsidP="00FB4DAD">
                    <w:pPr>
                      <w:spacing w:after="0"/>
                      <w:rPr>
                        <w:rFonts w:ascii="Calibri" w:eastAsia="Calibri" w:hAnsi="Calibri" w:cs="Calibri"/>
                        <w:noProof/>
                        <w:color w:val="000000"/>
                        <w:sz w:val="20"/>
                        <w:szCs w:val="20"/>
                      </w:rPr>
                    </w:pPr>
                    <w:r w:rsidRPr="00FB4DAD">
                      <w:rPr>
                        <w:rFonts w:ascii="Calibri" w:eastAsia="Calibri" w:hAnsi="Calibri" w:cs="Calibri"/>
                        <w:noProof/>
                        <w:color w:val="000000"/>
                        <w:sz w:val="20"/>
                        <w:szCs w:val="20"/>
                      </w:rPr>
                      <w:t>PUBLIC</w:t>
                    </w:r>
                  </w:p>
                </w:txbxContent>
              </v:textbox>
              <w10:wrap anchorx="page" anchory="page"/>
            </v:shape>
          </w:pict>
        </mc:Fallback>
      </mc:AlternateContent>
    </w:r>
    <w:r w:rsidR="00EC6A73">
      <w:rPr>
        <w:rStyle w:val="PageNumber"/>
      </w:rPr>
      <w:fldChar w:fldCharType="begin"/>
    </w:r>
    <w:r w:rsidR="00EC6A73">
      <w:rPr>
        <w:rStyle w:val="PageNumber"/>
      </w:rPr>
      <w:instrText xml:space="preserve"> PAGE </w:instrText>
    </w:r>
    <w:r w:rsidR="00EC6A73">
      <w:rPr>
        <w:rStyle w:val="PageNumber"/>
      </w:rPr>
      <w:fldChar w:fldCharType="separate"/>
    </w:r>
    <w:r w:rsidR="00A7485C">
      <w:rPr>
        <w:rStyle w:val="PageNumber"/>
        <w:noProof/>
      </w:rPr>
      <w:t>2</w:t>
    </w:r>
    <w:r w:rsidR="00EC6A73">
      <w:rPr>
        <w:rStyle w:val="PageNumber"/>
      </w:rPr>
      <w:fldChar w:fldCharType="end"/>
    </w:r>
  </w:p>
  <w:p w14:paraId="318C0784" w14:textId="1E21E3A6"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sidR="00A7485C">
      <w:rPr>
        <w:rStyle w:val="PageNumber"/>
        <w:noProof/>
      </w:rPr>
      <w:t>2</w:t>
    </w:r>
    <w:r>
      <w:rPr>
        <w:rStyle w:val="PageNumber"/>
      </w:rPr>
      <w:fldChar w:fldCharType="end"/>
    </w:r>
  </w:p>
  <w:p w14:paraId="1D0D4142"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5D8F2" w14:textId="3D5C2E93" w:rsidR="00EC6A73" w:rsidRDefault="00FB4DAD" w:rsidP="00917BB1">
    <w:pPr>
      <w:pStyle w:val="Footer"/>
      <w:ind w:right="360"/>
    </w:pPr>
    <w:r>
      <w:rPr>
        <w:noProof/>
      </w:rPr>
      <mc:AlternateContent>
        <mc:Choice Requires="wps">
          <w:drawing>
            <wp:anchor distT="0" distB="0" distL="0" distR="0" simplePos="0" relativeHeight="251664391" behindDoc="0" locked="0" layoutInCell="1" allowOverlap="1" wp14:anchorId="147393F3" wp14:editId="5EBED908">
              <wp:simplePos x="533400" y="9620250"/>
              <wp:positionH relativeFrom="page">
                <wp:align>center</wp:align>
              </wp:positionH>
              <wp:positionV relativeFrom="page">
                <wp:align>bottom</wp:align>
              </wp:positionV>
              <wp:extent cx="443865" cy="443865"/>
              <wp:effectExtent l="0" t="0" r="11430" b="0"/>
              <wp:wrapNone/>
              <wp:docPr id="1597224502" name="Text Box 6"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66DF5D" w14:textId="0993D6E5" w:rsidR="00FB4DAD" w:rsidRPr="00FB4DAD" w:rsidRDefault="00FB4DAD" w:rsidP="00FB4DAD">
                          <w:pPr>
                            <w:spacing w:after="0"/>
                            <w:rPr>
                              <w:rFonts w:ascii="Calibri" w:eastAsia="Calibri" w:hAnsi="Calibri" w:cs="Calibri"/>
                              <w:noProof/>
                              <w:color w:val="000000"/>
                              <w:sz w:val="20"/>
                              <w:szCs w:val="20"/>
                            </w:rPr>
                          </w:pPr>
                          <w:r w:rsidRPr="00FB4DAD">
                            <w:rPr>
                              <w:rFonts w:ascii="Calibri" w:eastAsia="Calibri" w:hAnsi="Calibri" w:cs="Calibri"/>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7393F3" id="_x0000_t202" coordsize="21600,21600" o:spt="202" path="m,l,21600r21600,l21600,xe">
              <v:stroke joinstyle="miter"/>
              <v:path gradientshapeok="t" o:connecttype="rect"/>
            </v:shapetype>
            <v:shape id="Text Box 6" o:spid="_x0000_s1030" type="#_x0000_t202" alt="PUBLIC" style="position:absolute;margin-left:0;margin-top:0;width:34.95pt;height:34.95pt;z-index:25166439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5466DF5D" w14:textId="0993D6E5" w:rsidR="00FB4DAD" w:rsidRPr="00FB4DAD" w:rsidRDefault="00FB4DAD" w:rsidP="00FB4DAD">
                    <w:pPr>
                      <w:spacing w:after="0"/>
                      <w:rPr>
                        <w:rFonts w:ascii="Calibri" w:eastAsia="Calibri" w:hAnsi="Calibri" w:cs="Calibri"/>
                        <w:noProof/>
                        <w:color w:val="000000"/>
                        <w:sz w:val="20"/>
                        <w:szCs w:val="20"/>
                      </w:rPr>
                    </w:pPr>
                    <w:r w:rsidRPr="00FB4DAD">
                      <w:rPr>
                        <w:rFonts w:ascii="Calibri" w:eastAsia="Calibri" w:hAnsi="Calibri" w:cs="Calibri"/>
                        <w:noProof/>
                        <w:color w:val="000000"/>
                        <w:sz w:val="20"/>
                        <w:szCs w:val="20"/>
                      </w:rPr>
                      <w:t>PUBLIC</w:t>
                    </w:r>
                  </w:p>
                </w:txbxContent>
              </v:textbox>
              <w10:wrap anchorx="page" anchory="page"/>
            </v:shape>
          </w:pict>
        </mc:Fallback>
      </mc:AlternateContent>
    </w:r>
  </w:p>
  <w:p w14:paraId="65DB262B" w14:textId="34C6DCEA"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02CF5611" wp14:editId="124FBF9D">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8CF8A7"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Content>
      <w:p w14:paraId="60D4730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E0B93A2" w14:textId="7EA5899D" w:rsidR="00917BB1" w:rsidRDefault="00917BB1" w:rsidP="00917BB1">
    <w:pPr>
      <w:pStyle w:val="Footer"/>
      <w:ind w:right="360"/>
    </w:pPr>
    <w:r>
      <w:rPr>
        <w:noProof/>
      </w:rPr>
      <w:drawing>
        <wp:inline distT="0" distB="0" distL="0" distR="0" wp14:anchorId="4DF81F20" wp14:editId="1BCFDB83">
          <wp:extent cx="1007167" cy="265044"/>
          <wp:effectExtent l="0" t="0" r="0" b="1905"/>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530EE" w14:textId="6CC17D14" w:rsidR="00BD1157" w:rsidRDefault="00FB4DAD">
    <w:pPr>
      <w:pStyle w:val="Footer"/>
    </w:pPr>
    <w:r>
      <w:rPr>
        <w:noProof/>
      </w:rPr>
      <mc:AlternateContent>
        <mc:Choice Requires="wps">
          <w:drawing>
            <wp:anchor distT="0" distB="0" distL="0" distR="0" simplePos="0" relativeHeight="251662343" behindDoc="0" locked="0" layoutInCell="1" allowOverlap="1" wp14:anchorId="55E8591B" wp14:editId="277FA568">
              <wp:simplePos x="533400" y="10363200"/>
              <wp:positionH relativeFrom="page">
                <wp:align>center</wp:align>
              </wp:positionH>
              <wp:positionV relativeFrom="page">
                <wp:align>bottom</wp:align>
              </wp:positionV>
              <wp:extent cx="443865" cy="443865"/>
              <wp:effectExtent l="0" t="0" r="11430" b="0"/>
              <wp:wrapNone/>
              <wp:docPr id="1191302725" name="Text Box 4"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9A1F3F" w14:textId="08ADA029" w:rsidR="00FB4DAD" w:rsidRPr="00FB4DAD" w:rsidRDefault="00FB4DAD" w:rsidP="00FB4DAD">
                          <w:pPr>
                            <w:spacing w:after="0"/>
                            <w:rPr>
                              <w:rFonts w:ascii="Calibri" w:eastAsia="Calibri" w:hAnsi="Calibri" w:cs="Calibri"/>
                              <w:noProof/>
                              <w:color w:val="000000"/>
                              <w:sz w:val="20"/>
                              <w:szCs w:val="20"/>
                            </w:rPr>
                          </w:pPr>
                          <w:r w:rsidRPr="00FB4DAD">
                            <w:rPr>
                              <w:rFonts w:ascii="Calibri" w:eastAsia="Calibri" w:hAnsi="Calibri" w:cs="Calibri"/>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E8591B" id="_x0000_t202" coordsize="21600,21600" o:spt="202" path="m,l,21600r21600,l21600,xe">
              <v:stroke joinstyle="miter"/>
              <v:path gradientshapeok="t" o:connecttype="rect"/>
            </v:shapetype>
            <v:shape id="Text Box 4" o:spid="_x0000_s1032" type="#_x0000_t202" alt="PUBLIC" style="position:absolute;margin-left:0;margin-top:0;width:34.95pt;height:34.95pt;z-index:2516623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599A1F3F" w14:textId="08ADA029" w:rsidR="00FB4DAD" w:rsidRPr="00FB4DAD" w:rsidRDefault="00FB4DAD" w:rsidP="00FB4DAD">
                    <w:pPr>
                      <w:spacing w:after="0"/>
                      <w:rPr>
                        <w:rFonts w:ascii="Calibri" w:eastAsia="Calibri" w:hAnsi="Calibri" w:cs="Calibri"/>
                        <w:noProof/>
                        <w:color w:val="000000"/>
                        <w:sz w:val="20"/>
                        <w:szCs w:val="20"/>
                      </w:rPr>
                    </w:pPr>
                    <w:r w:rsidRPr="00FB4DAD">
                      <w:rPr>
                        <w:rFonts w:ascii="Calibri" w:eastAsia="Calibri" w:hAnsi="Calibri" w:cs="Calibri"/>
                        <w:noProof/>
                        <w:color w:val="000000"/>
                        <w:sz w:val="20"/>
                        <w:szCs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DA5A5" w14:textId="77777777" w:rsidR="00363B50" w:rsidRDefault="00363B50" w:rsidP="002919C2">
      <w:pPr>
        <w:spacing w:after="0"/>
      </w:pPr>
      <w:r>
        <w:separator/>
      </w:r>
    </w:p>
  </w:footnote>
  <w:footnote w:type="continuationSeparator" w:id="0">
    <w:p w14:paraId="69188C7F" w14:textId="77777777" w:rsidR="00363B50" w:rsidRDefault="00363B50" w:rsidP="00660C79">
      <w:pPr>
        <w:spacing w:line="240" w:lineRule="auto"/>
      </w:pPr>
      <w:r>
        <w:continuationSeparator/>
      </w:r>
    </w:p>
  </w:footnote>
  <w:footnote w:type="continuationNotice" w:id="1">
    <w:p w14:paraId="4AC03B1E" w14:textId="77777777" w:rsidR="00363B50" w:rsidRDefault="00363B50">
      <w:pPr>
        <w:spacing w:after="0" w:line="240" w:lineRule="auto"/>
      </w:pPr>
    </w:p>
  </w:footnote>
  <w:footnote w:id="2">
    <w:p w14:paraId="6D9DD8F2" w14:textId="6FE03B23" w:rsidR="00A646FB" w:rsidRDefault="00A646FB">
      <w:pPr>
        <w:pStyle w:val="FootnoteText"/>
      </w:pPr>
      <w:r>
        <w:rPr>
          <w:rStyle w:val="FootnoteReference"/>
        </w:rPr>
        <w:footnoteRef/>
      </w:r>
      <w:r>
        <w:t xml:space="preserve"> </w:t>
      </w:r>
      <w:hyperlink r:id="rId1" w:history="1">
        <w:r w:rsidRPr="00D56D6A">
          <w:rPr>
            <w:rStyle w:val="Hyperlink"/>
          </w:rPr>
          <w:t>World Health Organisation – Antimicrobial resistance</w:t>
        </w:r>
      </w:hyperlink>
    </w:p>
  </w:footnote>
  <w:footnote w:id="3">
    <w:p w14:paraId="352B8545" w14:textId="7435A608" w:rsidR="005955D9" w:rsidRDefault="005955D9">
      <w:pPr>
        <w:pStyle w:val="FootnoteText"/>
      </w:pPr>
      <w:r>
        <w:rPr>
          <w:rStyle w:val="FootnoteReference"/>
        </w:rPr>
        <w:footnoteRef/>
      </w:r>
      <w:r>
        <w:t xml:space="preserve"> </w:t>
      </w:r>
      <w:hyperlink r:id="rId2" w:tgtFrame="_blank" w:history="1">
        <w:r w:rsidRPr="00970E95">
          <w:rPr>
            <w:rStyle w:val="normaltextrun"/>
            <w:rFonts w:ascii="Arial" w:hAnsi="Arial" w:cs="Arial"/>
            <w:color w:val="016574"/>
            <w:u w:val="single"/>
            <w:shd w:val="clear" w:color="auto" w:fill="FFFFFF"/>
          </w:rPr>
          <w:t>O'Neill J. Review on Antimicrobial Resistance Antimicrobial Resistance: Tackling a crisis for the health and wealth of nations. London: Review on Antimicrobial Resistance; 2014</w:t>
        </w:r>
      </w:hyperlink>
    </w:p>
  </w:footnote>
  <w:footnote w:id="4">
    <w:p w14:paraId="4A1429D8" w14:textId="0CB9DAE7" w:rsidR="00976AB4" w:rsidRDefault="00976AB4">
      <w:pPr>
        <w:pStyle w:val="FootnoteText"/>
      </w:pPr>
      <w:r>
        <w:rPr>
          <w:rStyle w:val="FootnoteReference"/>
        </w:rPr>
        <w:footnoteRef/>
      </w:r>
      <w:r>
        <w:t xml:space="preserve"> </w:t>
      </w:r>
      <w:hyperlink r:id="rId3" w:tgtFrame="_blank" w:history="1">
        <w:r w:rsidRPr="00970E95">
          <w:rPr>
            <w:rStyle w:val="normaltextrun"/>
            <w:rFonts w:ascii="Arial" w:hAnsi="Arial" w:cs="Arial"/>
            <w:color w:val="016574"/>
            <w:u w:val="single"/>
            <w:shd w:val="clear" w:color="auto" w:fill="FFFFFF"/>
          </w:rPr>
          <w:t>Global burden of bacterial antimicrobial resistance in 2019: a systematic analysis - The Lancet</w:t>
        </w:r>
      </w:hyperlink>
    </w:p>
  </w:footnote>
  <w:footnote w:id="5">
    <w:p w14:paraId="0503393F" w14:textId="5919F6C8" w:rsidR="00976AB4" w:rsidRDefault="00976AB4" w:rsidP="006D69D5">
      <w:pPr>
        <w:pStyle w:val="FootnoteText"/>
        <w:widowControl w:val="0"/>
      </w:pPr>
      <w:r>
        <w:rPr>
          <w:rStyle w:val="FootnoteReference"/>
        </w:rPr>
        <w:footnoteRef/>
      </w:r>
      <w:r>
        <w:t xml:space="preserve"> </w:t>
      </w:r>
      <w:r w:rsidR="007129B2" w:rsidRPr="00301F6F">
        <w:rPr>
          <w:rStyle w:val="normaltextrun"/>
          <w:rFonts w:ascii="Arial" w:hAnsi="Arial" w:cs="Arial"/>
          <w:color w:val="000000"/>
          <w:bdr w:val="none" w:sz="0" w:space="0" w:color="auto" w:frame="1"/>
        </w:rPr>
        <w:t>One Health recognises that the health of humans, domestic and wild animals, plants, and the wider environment (including ecosystems) are closely linked and inter-dependent and should be considered together to foster wellbeing and tackle threats to health and ecosystems.</w:t>
      </w:r>
    </w:p>
  </w:footnote>
  <w:footnote w:id="6">
    <w:p w14:paraId="37BAA40B" w14:textId="2EEFF9CB" w:rsidR="00CF5996" w:rsidRDefault="00CF5996" w:rsidP="006D69D5">
      <w:pPr>
        <w:pStyle w:val="FootnoteText"/>
        <w:widowControl w:val="0"/>
      </w:pPr>
      <w:r>
        <w:rPr>
          <w:rStyle w:val="FootnoteReference"/>
        </w:rPr>
        <w:footnoteRef/>
      </w:r>
      <w:r>
        <w:t xml:space="preserve"> </w:t>
      </w:r>
      <w:hyperlink r:id="rId4" w:history="1">
        <w:r w:rsidRPr="00780C3A">
          <w:rPr>
            <w:rStyle w:val="Hyperlink"/>
            <w:rFonts w:asciiTheme="majorHAnsi" w:eastAsia="Times New Roman" w:hAnsiTheme="majorHAnsi" w:cstheme="majorHAnsi"/>
            <w:shd w:val="clear" w:color="auto" w:fill="FFFFFF"/>
          </w:rPr>
          <w:t>Larsson, D.G.J., Gaze, W.H., Laxminarayan, R. </w:t>
        </w:r>
        <w:r w:rsidRPr="00780C3A">
          <w:rPr>
            <w:rStyle w:val="Hyperlink"/>
            <w:rFonts w:asciiTheme="majorHAnsi" w:eastAsia="Times New Roman" w:hAnsiTheme="majorHAnsi" w:cstheme="majorHAnsi"/>
            <w:i/>
            <w:iCs/>
            <w:shd w:val="clear" w:color="auto" w:fill="FFFFFF"/>
          </w:rPr>
          <w:t>et al.</w:t>
        </w:r>
        <w:r w:rsidRPr="00780C3A">
          <w:rPr>
            <w:rStyle w:val="Hyperlink"/>
            <w:rFonts w:asciiTheme="majorHAnsi" w:eastAsia="Times New Roman" w:hAnsiTheme="majorHAnsi" w:cstheme="majorHAnsi"/>
            <w:shd w:val="clear" w:color="auto" w:fill="FFFFFF"/>
          </w:rPr>
          <w:t xml:space="preserve"> AMR, One </w:t>
        </w:r>
        <w:proofErr w:type="gramStart"/>
        <w:r w:rsidRPr="00780C3A">
          <w:rPr>
            <w:rStyle w:val="Hyperlink"/>
            <w:rFonts w:asciiTheme="majorHAnsi" w:eastAsia="Times New Roman" w:hAnsiTheme="majorHAnsi" w:cstheme="majorHAnsi"/>
            <w:shd w:val="clear" w:color="auto" w:fill="FFFFFF"/>
          </w:rPr>
          <w:t>Health</w:t>
        </w:r>
        <w:proofErr w:type="gramEnd"/>
        <w:r w:rsidRPr="00780C3A">
          <w:rPr>
            <w:rStyle w:val="Hyperlink"/>
            <w:rFonts w:asciiTheme="majorHAnsi" w:eastAsia="Times New Roman" w:hAnsiTheme="majorHAnsi" w:cstheme="majorHAnsi"/>
            <w:shd w:val="clear" w:color="auto" w:fill="FFFFFF"/>
          </w:rPr>
          <w:t xml:space="preserve"> and the environment. </w:t>
        </w:r>
        <w:r w:rsidRPr="00780C3A">
          <w:rPr>
            <w:rStyle w:val="Hyperlink"/>
            <w:rFonts w:asciiTheme="majorHAnsi" w:eastAsia="Times New Roman" w:hAnsiTheme="majorHAnsi" w:cstheme="majorHAnsi"/>
            <w:i/>
            <w:iCs/>
            <w:shd w:val="clear" w:color="auto" w:fill="FFFFFF"/>
          </w:rPr>
          <w:t xml:space="preserve">Nat </w:t>
        </w:r>
        <w:proofErr w:type="spellStart"/>
        <w:r w:rsidRPr="00780C3A">
          <w:rPr>
            <w:rStyle w:val="Hyperlink"/>
            <w:rFonts w:asciiTheme="majorHAnsi" w:eastAsia="Times New Roman" w:hAnsiTheme="majorHAnsi" w:cstheme="majorHAnsi"/>
            <w:i/>
            <w:iCs/>
            <w:shd w:val="clear" w:color="auto" w:fill="FFFFFF"/>
          </w:rPr>
          <w:t>Microbiol</w:t>
        </w:r>
        <w:proofErr w:type="spellEnd"/>
        <w:r w:rsidRPr="00780C3A">
          <w:rPr>
            <w:rStyle w:val="Hyperlink"/>
            <w:rFonts w:asciiTheme="majorHAnsi" w:eastAsia="Times New Roman" w:hAnsiTheme="majorHAnsi" w:cstheme="majorHAnsi"/>
            <w:shd w:val="clear" w:color="auto" w:fill="FFFFFF"/>
          </w:rPr>
          <w:t> </w:t>
        </w:r>
        <w:r w:rsidRPr="00780C3A">
          <w:rPr>
            <w:rStyle w:val="Hyperlink"/>
            <w:rFonts w:asciiTheme="majorHAnsi" w:eastAsia="Times New Roman" w:hAnsiTheme="majorHAnsi" w:cstheme="majorHAnsi"/>
            <w:b/>
            <w:bCs/>
            <w:shd w:val="clear" w:color="auto" w:fill="FFFFFF"/>
          </w:rPr>
          <w:t>8</w:t>
        </w:r>
        <w:r w:rsidRPr="00780C3A">
          <w:rPr>
            <w:rStyle w:val="Hyperlink"/>
            <w:rFonts w:asciiTheme="majorHAnsi" w:eastAsia="Times New Roman" w:hAnsiTheme="majorHAnsi" w:cstheme="majorHAnsi"/>
            <w:shd w:val="clear" w:color="auto" w:fill="FFFFFF"/>
          </w:rPr>
          <w:t>, 754–755 (2023)</w:t>
        </w:r>
      </w:hyperlink>
    </w:p>
  </w:footnote>
  <w:footnote w:id="7">
    <w:p w14:paraId="6A3BF66F" w14:textId="68CEB116" w:rsidR="55A138D1" w:rsidRPr="001E46C1" w:rsidRDefault="55A138D1" w:rsidP="006D69D5">
      <w:pPr>
        <w:pStyle w:val="FootnoteText"/>
        <w:widowControl w:val="0"/>
        <w:rPr>
          <w:rFonts w:ascii="Arial" w:eastAsia="Calibri" w:hAnsi="Arial" w:cs="Arial"/>
          <w:i/>
          <w:iCs/>
        </w:rPr>
      </w:pPr>
      <w:r w:rsidRPr="6B43C000">
        <w:rPr>
          <w:rStyle w:val="FootnoteReference"/>
          <w:rFonts w:ascii="Arial" w:hAnsi="Arial" w:cs="Arial"/>
        </w:rPr>
        <w:footnoteRef/>
      </w:r>
      <w:r w:rsidR="00DD1456">
        <w:t xml:space="preserve"> </w:t>
      </w:r>
      <w:hyperlink r:id="rId5" w:tgtFrame="_blank" w:history="1">
        <w:r w:rsidR="00DD1456" w:rsidRPr="00970E95">
          <w:rPr>
            <w:rStyle w:val="normaltextrun"/>
            <w:rFonts w:cstheme="minorHAnsi"/>
            <w:color w:val="016574"/>
            <w:u w:val="single"/>
            <w:shd w:val="clear" w:color="auto" w:fill="FFFFFF"/>
          </w:rPr>
          <w:t>UNEP Report February 2023 </w:t>
        </w:r>
        <w:r w:rsidR="00DD1456" w:rsidRPr="00970E95">
          <w:rPr>
            <w:rStyle w:val="normaltextrun"/>
            <w:rFonts w:cstheme="minorHAnsi"/>
            <w:i/>
            <w:iCs/>
            <w:color w:val="016574"/>
            <w:u w:val="single"/>
            <w:shd w:val="clear" w:color="auto" w:fill="FFFFFF"/>
          </w:rPr>
          <w:t>Bracing for Superbugs</w:t>
        </w:r>
      </w:hyperlink>
    </w:p>
  </w:footnote>
  <w:footnote w:id="8">
    <w:p w14:paraId="7F59506C" w14:textId="39CA612A" w:rsidR="00A5514F" w:rsidRDefault="00A5514F" w:rsidP="006D69D5">
      <w:pPr>
        <w:pStyle w:val="FootnoteText"/>
        <w:widowControl w:val="0"/>
      </w:pPr>
      <w:r>
        <w:rPr>
          <w:rStyle w:val="FootnoteReference"/>
        </w:rPr>
        <w:footnoteRef/>
      </w:r>
      <w:r>
        <w:t xml:space="preserve"> </w:t>
      </w:r>
      <w:hyperlink r:id="rId6" w:history="1">
        <w:r w:rsidR="00CF3DD7" w:rsidRPr="00CF3DD7">
          <w:rPr>
            <w:rStyle w:val="Hyperlink"/>
            <w:rFonts w:eastAsia="Times New Roman"/>
            <w:shd w:val="clear" w:color="auto" w:fill="FFFFFF"/>
          </w:rPr>
          <w:t>Stanton, I.C., Bethel, A., Leonard, A.F.C. </w:t>
        </w:r>
        <w:r w:rsidR="00CF3DD7" w:rsidRPr="00CF3DD7">
          <w:rPr>
            <w:rStyle w:val="Hyperlink"/>
            <w:rFonts w:eastAsia="Times New Roman"/>
            <w:i/>
            <w:iCs/>
            <w:shd w:val="clear" w:color="auto" w:fill="FFFFFF"/>
          </w:rPr>
          <w:t>et al.</w:t>
        </w:r>
        <w:r w:rsidR="00CF3DD7" w:rsidRPr="00CF3DD7">
          <w:rPr>
            <w:rStyle w:val="Hyperlink"/>
            <w:rFonts w:eastAsia="Times New Roman"/>
            <w:shd w:val="clear" w:color="auto" w:fill="FFFFFF"/>
          </w:rPr>
          <w:t> Existing evidence on antibiotic resistance exposure and transmission to humans from the environment: a systematic map. </w:t>
        </w:r>
        <w:r w:rsidR="00CF3DD7" w:rsidRPr="00CF3DD7">
          <w:rPr>
            <w:rStyle w:val="Hyperlink"/>
            <w:rFonts w:eastAsia="Times New Roman"/>
            <w:i/>
            <w:iCs/>
            <w:shd w:val="clear" w:color="auto" w:fill="FFFFFF"/>
          </w:rPr>
          <w:t>Environ Evid</w:t>
        </w:r>
        <w:r w:rsidR="00CF3DD7" w:rsidRPr="00CF3DD7">
          <w:rPr>
            <w:rStyle w:val="Hyperlink"/>
            <w:rFonts w:eastAsia="Times New Roman"/>
            <w:shd w:val="clear" w:color="auto" w:fill="FFFFFF"/>
          </w:rPr>
          <w:t> </w:t>
        </w:r>
        <w:r w:rsidR="00CF3DD7" w:rsidRPr="00CF3DD7">
          <w:rPr>
            <w:rStyle w:val="Hyperlink"/>
            <w:rFonts w:eastAsia="Times New Roman"/>
            <w:b/>
            <w:bCs/>
            <w:shd w:val="clear" w:color="auto" w:fill="FFFFFF"/>
          </w:rPr>
          <w:t>11</w:t>
        </w:r>
        <w:r w:rsidR="00CF3DD7" w:rsidRPr="00CF3DD7">
          <w:rPr>
            <w:rStyle w:val="Hyperlink"/>
            <w:rFonts w:eastAsia="Times New Roman"/>
            <w:shd w:val="clear" w:color="auto" w:fill="FFFFFF"/>
          </w:rPr>
          <w:t>, 8 (2022)</w:t>
        </w:r>
      </w:hyperlink>
    </w:p>
  </w:footnote>
  <w:footnote w:id="9">
    <w:p w14:paraId="31FF6362" w14:textId="1314112A" w:rsidR="00081C88" w:rsidRDefault="00081C88">
      <w:pPr>
        <w:pStyle w:val="FootnoteText"/>
      </w:pPr>
      <w:r>
        <w:rPr>
          <w:rStyle w:val="FootnoteReference"/>
        </w:rPr>
        <w:footnoteRef/>
      </w:r>
      <w:r>
        <w:t xml:space="preserve"> </w:t>
      </w:r>
      <w:hyperlink r:id="rId7" w:history="1">
        <w:r w:rsidRPr="00C8353A">
          <w:rPr>
            <w:rStyle w:val="Hyperlink"/>
          </w:rPr>
          <w:t>Front</w:t>
        </w:r>
        <w:r w:rsidR="00CA51C5" w:rsidRPr="00C8353A">
          <w:rPr>
            <w:rStyle w:val="Hyperlink"/>
          </w:rPr>
          <w:t xml:space="preserve">iers – Review of Antimicrobial Resistance in the Environment </w:t>
        </w:r>
        <w:r w:rsidR="00C8353A" w:rsidRPr="00C8353A">
          <w:rPr>
            <w:rStyle w:val="Hyperlink"/>
          </w:rPr>
          <w:t>and Its Relevance to Environmental Regulators</w:t>
        </w:r>
      </w:hyperlink>
    </w:p>
  </w:footnote>
  <w:footnote w:id="10">
    <w:p w14:paraId="6A85C132" w14:textId="1C8CC8D5" w:rsidR="55A138D1" w:rsidRPr="001E46C1" w:rsidRDefault="55A138D1" w:rsidP="55A138D1">
      <w:pPr>
        <w:pStyle w:val="FootnoteText"/>
        <w:rPr>
          <w:rFonts w:ascii="Arial" w:hAnsi="Arial" w:cs="Arial"/>
        </w:rPr>
      </w:pPr>
      <w:r w:rsidRPr="001E46C1">
        <w:rPr>
          <w:rStyle w:val="FootnoteReference"/>
          <w:rFonts w:ascii="Arial" w:hAnsi="Arial" w:cs="Arial"/>
        </w:rPr>
        <w:footnoteRef/>
      </w:r>
      <w:r w:rsidRPr="001E46C1">
        <w:rPr>
          <w:rFonts w:ascii="Arial" w:hAnsi="Arial" w:cs="Arial"/>
        </w:rPr>
        <w:t xml:space="preserve"> </w:t>
      </w:r>
      <w:hyperlink r:id="rId8">
        <w:r w:rsidRPr="001E46C1">
          <w:rPr>
            <w:rStyle w:val="Hyperlink"/>
            <w:rFonts w:ascii="Arial" w:eastAsia="Segoe UI" w:hAnsi="Arial" w:cs="Arial"/>
          </w:rPr>
          <w:t>Antimicrobial resistance: information - gov.scot (www.gov.scot)</w:t>
        </w:r>
      </w:hyperlink>
    </w:p>
  </w:footnote>
  <w:footnote w:id="11">
    <w:p w14:paraId="45111068" w14:textId="1BB098A9" w:rsidR="55A138D1" w:rsidRPr="00B26DB1" w:rsidRDefault="55A138D1" w:rsidP="55A138D1">
      <w:pPr>
        <w:pStyle w:val="FootnoteText"/>
        <w:rPr>
          <w:rFonts w:ascii="Arial" w:hAnsi="Arial" w:cs="Arial"/>
          <w:sz w:val="18"/>
          <w:szCs w:val="18"/>
        </w:rPr>
      </w:pPr>
      <w:r w:rsidRPr="001E46C1">
        <w:rPr>
          <w:rStyle w:val="FootnoteReference"/>
          <w:rFonts w:ascii="Arial" w:hAnsi="Arial" w:cs="Arial"/>
        </w:rPr>
        <w:footnoteRef/>
      </w:r>
      <w:r w:rsidRPr="001E46C1">
        <w:rPr>
          <w:rFonts w:ascii="Arial" w:hAnsi="Arial" w:cs="Arial"/>
        </w:rPr>
        <w:t xml:space="preserve"> </w:t>
      </w:r>
      <w:hyperlink r:id="rId9" w:history="1">
        <w:r w:rsidR="00184ED9" w:rsidRPr="00FA56E8">
          <w:rPr>
            <w:rStyle w:val="Hyperlink"/>
            <w:rFonts w:ascii="Arial" w:eastAsia="Calibri" w:hAnsi="Arial" w:cs="Arial"/>
          </w:rPr>
          <w:t xml:space="preserve">UK 5-year </w:t>
        </w:r>
        <w:r w:rsidR="00F4180B" w:rsidRPr="00FA56E8">
          <w:rPr>
            <w:rStyle w:val="Hyperlink"/>
            <w:rFonts w:ascii="Arial" w:eastAsia="Calibri" w:hAnsi="Arial" w:cs="Arial"/>
          </w:rPr>
          <w:t>action plan for antimicrobial resistance 2019-2024</w:t>
        </w:r>
      </w:hyperlink>
    </w:p>
  </w:footnote>
  <w:footnote w:id="12">
    <w:p w14:paraId="1A852E79" w14:textId="0E9A2D14" w:rsidR="46D4A434" w:rsidRPr="00C3338E" w:rsidRDefault="46D4A434" w:rsidP="46D4A434">
      <w:pPr>
        <w:pStyle w:val="FootnoteText"/>
        <w:rPr>
          <w:rFonts w:ascii="Arial" w:hAnsi="Arial" w:cs="Arial"/>
        </w:rPr>
      </w:pPr>
      <w:r w:rsidRPr="00C3338E">
        <w:rPr>
          <w:rStyle w:val="FootnoteReference"/>
          <w:rFonts w:ascii="Arial" w:hAnsi="Arial" w:cs="Arial"/>
        </w:rPr>
        <w:footnoteRef/>
      </w:r>
      <w:r w:rsidRPr="00C3338E">
        <w:rPr>
          <w:rFonts w:ascii="Arial" w:hAnsi="Arial" w:cs="Arial"/>
        </w:rPr>
        <w:t xml:space="preserve">  </w:t>
      </w:r>
      <w:hyperlink r:id="rId10">
        <w:r w:rsidRPr="00C3338E">
          <w:rPr>
            <w:rStyle w:val="Hyperlink"/>
            <w:rFonts w:ascii="Arial" w:eastAsia="Calibri" w:hAnsi="Arial" w:cs="Arial"/>
          </w:rPr>
          <w:t>SONAAR 2021</w:t>
        </w:r>
      </w:hyperlink>
    </w:p>
  </w:footnote>
  <w:footnote w:id="13">
    <w:p w14:paraId="47C3F6C8" w14:textId="797E008B" w:rsidR="52C40CF2" w:rsidRPr="00C3338E" w:rsidRDefault="52C40CF2" w:rsidP="004D6EB9">
      <w:pPr>
        <w:pStyle w:val="FootnoteText"/>
        <w:rPr>
          <w:rFonts w:ascii="Arial" w:hAnsi="Arial" w:cs="Arial"/>
        </w:rPr>
      </w:pPr>
      <w:r w:rsidRPr="00C3338E">
        <w:rPr>
          <w:rStyle w:val="FootnoteReference"/>
          <w:rFonts w:ascii="Arial" w:hAnsi="Arial" w:cs="Arial"/>
        </w:rPr>
        <w:footnoteRef/>
      </w:r>
      <w:r w:rsidRPr="00C3338E">
        <w:rPr>
          <w:rFonts w:ascii="Arial" w:hAnsi="Arial" w:cs="Arial"/>
        </w:rPr>
        <w:t xml:space="preserve"> </w:t>
      </w:r>
      <w:hyperlink r:id="rId11" w:history="1">
        <w:r w:rsidRPr="00C3338E">
          <w:rPr>
            <w:rStyle w:val="Hyperlink"/>
            <w:rFonts w:ascii="Arial" w:hAnsi="Arial" w:cs="Arial"/>
          </w:rPr>
          <w:t>Scottish One Health Antimicrobial Use and Antimicrobial Resistance in 2021</w:t>
        </w:r>
      </w:hyperlink>
    </w:p>
  </w:footnote>
  <w:footnote w:id="14">
    <w:p w14:paraId="7377601B" w14:textId="45E490B2" w:rsidR="52C40CF2" w:rsidRPr="00C3338E" w:rsidRDefault="52C40CF2" w:rsidP="004D6EB9">
      <w:pPr>
        <w:pStyle w:val="FootnoteText"/>
        <w:rPr>
          <w:rFonts w:ascii="Arial" w:hAnsi="Arial" w:cs="Arial"/>
        </w:rPr>
      </w:pPr>
      <w:r w:rsidRPr="00C3338E">
        <w:rPr>
          <w:rStyle w:val="FootnoteReference"/>
          <w:rFonts w:ascii="Arial" w:hAnsi="Arial" w:cs="Arial"/>
        </w:rPr>
        <w:footnoteRef/>
      </w:r>
      <w:r w:rsidRPr="00C3338E">
        <w:rPr>
          <w:rFonts w:ascii="Arial" w:hAnsi="Arial" w:cs="Arial"/>
        </w:rPr>
        <w:t xml:space="preserve"> </w:t>
      </w:r>
      <w:hyperlink r:id="rId12" w:history="1">
        <w:r w:rsidRPr="00C3338E">
          <w:rPr>
            <w:rStyle w:val="Hyperlink"/>
            <w:rFonts w:ascii="Arial" w:hAnsi="Arial" w:cs="Arial"/>
          </w:rPr>
          <w:t>Antimicrobial resistance in the EU/EEA (EARS-Net) Report for 2021</w:t>
        </w:r>
      </w:hyperlink>
    </w:p>
  </w:footnote>
  <w:footnote w:id="15">
    <w:p w14:paraId="13B89BEB" w14:textId="260AC342" w:rsidR="52C40CF2" w:rsidRPr="00C3338E" w:rsidRDefault="52C40CF2" w:rsidP="004D6EB9">
      <w:pPr>
        <w:pStyle w:val="FootnoteText"/>
        <w:rPr>
          <w:rFonts w:ascii="Arial" w:hAnsi="Arial" w:cs="Arial"/>
        </w:rPr>
      </w:pPr>
      <w:r w:rsidRPr="00C3338E">
        <w:rPr>
          <w:rStyle w:val="FootnoteReference"/>
          <w:rFonts w:ascii="Arial" w:hAnsi="Arial" w:cs="Arial"/>
        </w:rPr>
        <w:footnoteRef/>
      </w:r>
      <w:r w:rsidRPr="00C3338E">
        <w:rPr>
          <w:rFonts w:ascii="Arial" w:hAnsi="Arial" w:cs="Arial"/>
        </w:rPr>
        <w:t xml:space="preserve"> </w:t>
      </w:r>
      <w:hyperlink r:id="rId13" w:history="1">
        <w:r w:rsidRPr="00C3338E">
          <w:rPr>
            <w:rStyle w:val="Hyperlink"/>
            <w:rFonts w:ascii="Arial" w:hAnsi="Arial" w:cs="Arial"/>
          </w:rPr>
          <w:t>English surveillance programme for antimicrobial utilisation and resistance (ESPAUR) 2021-2022</w:t>
        </w:r>
      </w:hyperlink>
    </w:p>
  </w:footnote>
  <w:footnote w:id="16">
    <w:p w14:paraId="20C3E39B" w14:textId="33B0D7B2" w:rsidR="46D4A434" w:rsidRPr="00C3338E" w:rsidRDefault="46D4A434" w:rsidP="46D4A434">
      <w:pPr>
        <w:pStyle w:val="FootnoteText"/>
        <w:rPr>
          <w:rFonts w:ascii="Arial" w:hAnsi="Arial" w:cs="Arial"/>
        </w:rPr>
      </w:pPr>
      <w:r w:rsidRPr="00C3338E">
        <w:rPr>
          <w:rStyle w:val="FootnoteReference"/>
          <w:rFonts w:ascii="Arial" w:hAnsi="Arial" w:cs="Arial"/>
        </w:rPr>
        <w:footnoteRef/>
      </w:r>
      <w:r w:rsidRPr="00C3338E">
        <w:rPr>
          <w:rFonts w:ascii="Arial" w:hAnsi="Arial" w:cs="Arial"/>
        </w:rPr>
        <w:t xml:space="preserve"> </w:t>
      </w:r>
      <w:hyperlink r:id="rId14">
        <w:r w:rsidRPr="00C3338E">
          <w:rPr>
            <w:rStyle w:val="Hyperlink"/>
            <w:rFonts w:ascii="Arial" w:eastAsia="Arial" w:hAnsi="Arial" w:cs="Arial"/>
          </w:rPr>
          <w:t>One Health Breakthrough Partnership (ohbp.org)</w:t>
        </w:r>
      </w:hyperlink>
    </w:p>
  </w:footnote>
  <w:footnote w:id="17">
    <w:p w14:paraId="20C47D43" w14:textId="4D273EB5" w:rsidR="46D4A434" w:rsidRPr="00C3338E" w:rsidRDefault="46D4A434" w:rsidP="46D4A434">
      <w:pPr>
        <w:pStyle w:val="FootnoteText"/>
        <w:rPr>
          <w:rFonts w:ascii="Arial" w:hAnsi="Arial" w:cs="Arial"/>
        </w:rPr>
      </w:pPr>
      <w:r w:rsidRPr="00C3338E">
        <w:rPr>
          <w:rStyle w:val="FootnoteReference"/>
          <w:rFonts w:ascii="Arial" w:hAnsi="Arial" w:cs="Arial"/>
        </w:rPr>
        <w:footnoteRef/>
      </w:r>
      <w:r w:rsidRPr="00C3338E">
        <w:rPr>
          <w:rFonts w:ascii="Arial" w:hAnsi="Arial" w:cs="Arial"/>
        </w:rPr>
        <w:t xml:space="preserve"> </w:t>
      </w:r>
      <w:hyperlink r:id="rId15">
        <w:r w:rsidRPr="00C3338E">
          <w:rPr>
            <w:rStyle w:val="Hyperlink"/>
            <w:rFonts w:ascii="Arial" w:eastAsia="Arial" w:hAnsi="Arial" w:cs="Arial"/>
          </w:rPr>
          <w:t>Pharmaceuticals in the water environment: baseline assessment and recommendations | CREW | Scotland's Centre of Expertise for Waters</w:t>
        </w:r>
      </w:hyperlink>
    </w:p>
  </w:footnote>
  <w:footnote w:id="18">
    <w:p w14:paraId="16B2D146" w14:textId="2D3B52A1" w:rsidR="46D4A434" w:rsidRPr="00C3338E" w:rsidRDefault="46D4A434" w:rsidP="46D4A434">
      <w:pPr>
        <w:pStyle w:val="FootnoteText"/>
        <w:rPr>
          <w:rFonts w:ascii="Arial" w:hAnsi="Arial" w:cs="Arial"/>
        </w:rPr>
      </w:pPr>
      <w:r w:rsidRPr="00C3338E">
        <w:rPr>
          <w:rStyle w:val="FootnoteReference"/>
          <w:rFonts w:ascii="Arial" w:hAnsi="Arial" w:cs="Arial"/>
        </w:rPr>
        <w:footnoteRef/>
      </w:r>
      <w:r w:rsidRPr="00C3338E">
        <w:rPr>
          <w:rFonts w:ascii="Arial" w:hAnsi="Arial" w:cs="Arial"/>
        </w:rPr>
        <w:t xml:space="preserve"> </w:t>
      </w:r>
      <w:hyperlink r:id="rId16">
        <w:r w:rsidRPr="00C3338E">
          <w:rPr>
            <w:rStyle w:val="Hyperlink"/>
            <w:rFonts w:ascii="Arial" w:hAnsi="Arial" w:cs="Arial"/>
          </w:rPr>
          <w:t>Chemical Investigations Programme (ukwir.org)</w:t>
        </w:r>
      </w:hyperlink>
    </w:p>
  </w:footnote>
  <w:footnote w:id="19">
    <w:p w14:paraId="2BCDBC92" w14:textId="102E8EDB" w:rsidR="46D4A434" w:rsidRPr="00C3338E" w:rsidRDefault="46D4A434" w:rsidP="46D4A434">
      <w:pPr>
        <w:pStyle w:val="FootnoteText"/>
        <w:rPr>
          <w:rFonts w:ascii="Arial" w:eastAsia="Segoe UI" w:hAnsi="Arial" w:cs="Arial"/>
        </w:rPr>
      </w:pPr>
      <w:r w:rsidRPr="00C3338E">
        <w:rPr>
          <w:rStyle w:val="FootnoteReference"/>
          <w:rFonts w:ascii="Arial" w:hAnsi="Arial" w:cs="Arial"/>
        </w:rPr>
        <w:footnoteRef/>
      </w:r>
      <w:r w:rsidRPr="00C3338E">
        <w:rPr>
          <w:rFonts w:ascii="Arial" w:hAnsi="Arial" w:cs="Arial"/>
        </w:rPr>
        <w:t xml:space="preserve"> </w:t>
      </w:r>
      <w:hyperlink r:id="rId17">
        <w:r w:rsidRPr="00C3338E">
          <w:rPr>
            <w:rStyle w:val="Hyperlink"/>
            <w:rFonts w:ascii="Arial" w:eastAsia="Segoe UI" w:hAnsi="Arial" w:cs="Arial"/>
          </w:rPr>
          <w:t>The National Chemical Investigations Programme 2020-2022 Volume 1 - Investigations into changes to Antimicrobial Resistance through wastewater and sludge treatment processes (ukwir.org)</w:t>
        </w:r>
      </w:hyperlink>
    </w:p>
  </w:footnote>
  <w:footnote w:id="20">
    <w:p w14:paraId="47575832" w14:textId="578A4F1E" w:rsidR="7534CFBF" w:rsidRPr="00C3338E" w:rsidRDefault="7534CFBF" w:rsidP="7534CFBF">
      <w:pPr>
        <w:pStyle w:val="FootnoteText"/>
        <w:rPr>
          <w:rFonts w:ascii="Arial" w:hAnsi="Arial" w:cs="Arial"/>
        </w:rPr>
      </w:pPr>
      <w:r w:rsidRPr="00C3338E">
        <w:rPr>
          <w:rStyle w:val="FootnoteReference"/>
          <w:rFonts w:ascii="Arial" w:hAnsi="Arial" w:cs="Arial"/>
        </w:rPr>
        <w:footnoteRef/>
      </w:r>
      <w:r w:rsidRPr="00C3338E">
        <w:rPr>
          <w:rFonts w:ascii="Arial" w:hAnsi="Arial" w:cs="Arial"/>
        </w:rPr>
        <w:t xml:space="preserve"> </w:t>
      </w:r>
      <w:hyperlink r:id="rId18">
        <w:r w:rsidRPr="00C3338E">
          <w:rPr>
            <w:rStyle w:val="Hyperlink"/>
            <w:rFonts w:ascii="Arial" w:hAnsi="Arial" w:cs="Arial"/>
          </w:rPr>
          <w:t>Review of wastewater monitoring applications for public health and novel aspects of environmental quality | CREW | Scotland's Centre of Expertise for Waters</w:t>
        </w:r>
      </w:hyperlink>
    </w:p>
  </w:footnote>
  <w:footnote w:id="21">
    <w:p w14:paraId="421C3B45" w14:textId="4FD295F1" w:rsidR="7534CFBF" w:rsidRPr="00C3338E" w:rsidRDefault="7534CFBF" w:rsidP="7534CFBF">
      <w:pPr>
        <w:pStyle w:val="FootnoteText"/>
        <w:rPr>
          <w:rFonts w:ascii="Arial" w:hAnsi="Arial" w:cs="Arial"/>
        </w:rPr>
      </w:pPr>
      <w:r w:rsidRPr="00C3338E">
        <w:rPr>
          <w:rStyle w:val="FootnoteReference"/>
          <w:rFonts w:ascii="Arial" w:hAnsi="Arial" w:cs="Arial"/>
        </w:rPr>
        <w:footnoteRef/>
      </w:r>
      <w:r w:rsidRPr="00C3338E">
        <w:rPr>
          <w:rFonts w:ascii="Arial" w:hAnsi="Arial" w:cs="Arial"/>
        </w:rPr>
        <w:t xml:space="preserve"> </w:t>
      </w:r>
      <w:hyperlink r:id="rId19">
        <w:r w:rsidRPr="00C3338E">
          <w:rPr>
            <w:rStyle w:val="Hyperlink"/>
            <w:rFonts w:ascii="Arial" w:hAnsi="Arial" w:cs="Arial"/>
          </w:rPr>
          <w:t>Scottish One Health AMR Register (SOHAR) | CREW | Scotland's Centre of Expertise for Waters</w:t>
        </w:r>
      </w:hyperlink>
    </w:p>
  </w:footnote>
  <w:footnote w:id="22">
    <w:p w14:paraId="22263889" w14:textId="7197E126" w:rsidR="70D4B1FE" w:rsidRPr="00C3338E" w:rsidRDefault="70D4B1FE" w:rsidP="70D4B1FE">
      <w:pPr>
        <w:pStyle w:val="FootnoteText"/>
        <w:rPr>
          <w:rFonts w:ascii="Arial" w:hAnsi="Arial" w:cs="Arial"/>
        </w:rPr>
      </w:pPr>
      <w:r w:rsidRPr="00C3338E">
        <w:rPr>
          <w:rStyle w:val="FootnoteReference"/>
          <w:rFonts w:ascii="Arial" w:hAnsi="Arial" w:cs="Arial"/>
        </w:rPr>
        <w:footnoteRef/>
      </w:r>
      <w:r w:rsidRPr="00C3338E">
        <w:rPr>
          <w:rFonts w:ascii="Arial" w:hAnsi="Arial" w:cs="Arial"/>
        </w:rPr>
        <w:t xml:space="preserve"> </w:t>
      </w:r>
      <w:hyperlink r:id="rId20">
        <w:r w:rsidRPr="00C3338E">
          <w:rPr>
            <w:rStyle w:val="Hyperlink"/>
            <w:rFonts w:ascii="Arial" w:hAnsi="Arial" w:cs="Arial"/>
          </w:rPr>
          <w:t>Antimicrobial Resistance in Scotland’s Waters - Status and Solutions | CREW | Scotland's Centre of Expertise for Waters</w:t>
        </w:r>
      </w:hyperlink>
    </w:p>
  </w:footnote>
  <w:footnote w:id="23">
    <w:p w14:paraId="1997AF4B" w14:textId="63B00FE2" w:rsidR="46D4A434" w:rsidRPr="00C3338E" w:rsidRDefault="46D4A434" w:rsidP="46D4A434">
      <w:pPr>
        <w:pStyle w:val="FootnoteText"/>
        <w:rPr>
          <w:rFonts w:ascii="Arial" w:hAnsi="Arial" w:cs="Arial"/>
        </w:rPr>
      </w:pPr>
      <w:r w:rsidRPr="00C3338E">
        <w:rPr>
          <w:rStyle w:val="FootnoteReference"/>
          <w:rFonts w:ascii="Arial" w:hAnsi="Arial" w:cs="Arial"/>
        </w:rPr>
        <w:footnoteRef/>
      </w:r>
      <w:r w:rsidRPr="00C3338E">
        <w:rPr>
          <w:rFonts w:ascii="Arial" w:hAnsi="Arial" w:cs="Arial"/>
        </w:rPr>
        <w:t xml:space="preserve"> </w:t>
      </w:r>
      <w:hyperlink r:id="rId21">
        <w:r w:rsidRPr="00C3338E">
          <w:rPr>
            <w:rStyle w:val="Hyperlink"/>
            <w:rFonts w:ascii="Arial" w:hAnsi="Arial" w:cs="Arial"/>
          </w:rPr>
          <w:t>Council Recommendation on stepping up EU actions to combat antimicrobial resistance in a One Health approach (europa.eu)</w:t>
        </w:r>
      </w:hyperlink>
    </w:p>
  </w:footnote>
  <w:footnote w:id="24">
    <w:p w14:paraId="21D528CA" w14:textId="2F581279" w:rsidR="46D4A434" w:rsidRDefault="46D4A434" w:rsidP="46D4A434">
      <w:pPr>
        <w:pStyle w:val="FootnoteText"/>
      </w:pPr>
      <w:r w:rsidRPr="00C3338E">
        <w:rPr>
          <w:rStyle w:val="FootnoteReference"/>
          <w:rFonts w:ascii="Arial" w:hAnsi="Arial" w:cs="Arial"/>
        </w:rPr>
        <w:footnoteRef/>
      </w:r>
      <w:r w:rsidRPr="00C3338E">
        <w:rPr>
          <w:rFonts w:ascii="Arial" w:hAnsi="Arial" w:cs="Arial"/>
        </w:rPr>
        <w:t xml:space="preserve"> </w:t>
      </w:r>
      <w:hyperlink r:id="rId22">
        <w:r w:rsidRPr="00C3338E">
          <w:rPr>
            <w:rStyle w:val="Hyperlink"/>
            <w:rFonts w:ascii="Arial" w:hAnsi="Arial" w:cs="Arial"/>
          </w:rPr>
          <w:t>Recast UWWTD</w:t>
        </w:r>
      </w:hyperlink>
    </w:p>
  </w:footnote>
  <w:footnote w:id="25">
    <w:p w14:paraId="0ED90934" w14:textId="623FF79B" w:rsidR="70D4B1FE" w:rsidRPr="00C3338E" w:rsidRDefault="70D4B1FE" w:rsidP="70D4B1FE">
      <w:pPr>
        <w:pStyle w:val="FootnoteText"/>
        <w:rPr>
          <w:rFonts w:ascii="Arial" w:eastAsia="Calibri" w:hAnsi="Arial" w:cs="Arial"/>
          <w:color w:val="000000"/>
        </w:rPr>
      </w:pPr>
      <w:r w:rsidRPr="00C3338E">
        <w:rPr>
          <w:rStyle w:val="FootnoteReference"/>
          <w:rFonts w:ascii="Arial" w:hAnsi="Arial" w:cs="Arial"/>
        </w:rPr>
        <w:footnoteRef/>
      </w:r>
      <w:r w:rsidRPr="00C3338E">
        <w:rPr>
          <w:rFonts w:ascii="Arial" w:hAnsi="Arial" w:cs="Arial"/>
        </w:rPr>
        <w:t xml:space="preserve"> </w:t>
      </w:r>
      <w:r w:rsidRPr="00C3338E">
        <w:rPr>
          <w:rFonts w:ascii="Arial" w:eastAsia="Calibri" w:hAnsi="Arial" w:cs="Arial"/>
          <w:color w:val="000000"/>
        </w:rPr>
        <w:t xml:space="preserve"> </w:t>
      </w:r>
      <w:hyperlink r:id="rId23" w:history="1">
        <w:r w:rsidRPr="00C3338E">
          <w:rPr>
            <w:rFonts w:ascii="Arial" w:eastAsia="Calibri" w:hAnsi="Arial" w:cs="Arial"/>
            <w:color w:val="000000"/>
          </w:rPr>
          <w:t xml:space="preserve">Hart Alwyn, Warren Jonathan, Wilkinson Helen, Schmidt Wiebke Environmental surveillance of antimicrobial resistance (AMR), perspectives from a national environmental regulator in 2023. Euro </w:t>
        </w:r>
        <w:proofErr w:type="spellStart"/>
        <w:r w:rsidRPr="00C3338E">
          <w:rPr>
            <w:rFonts w:ascii="Arial" w:eastAsia="Calibri" w:hAnsi="Arial" w:cs="Arial"/>
            <w:color w:val="000000"/>
          </w:rPr>
          <w:t>Surveill</w:t>
        </w:r>
        <w:proofErr w:type="spellEnd"/>
        <w:r w:rsidRPr="00C3338E">
          <w:rPr>
            <w:rFonts w:ascii="Arial" w:eastAsia="Calibri" w:hAnsi="Arial" w:cs="Arial"/>
            <w:color w:val="000000"/>
          </w:rPr>
          <w:t xml:space="preserve">. </w:t>
        </w:r>
        <w:r w:rsidRPr="00C3338E">
          <w:rPr>
            <w:rStyle w:val="Hyperlink"/>
            <w:rFonts w:ascii="Arial" w:eastAsia="Calibri" w:hAnsi="Arial" w:cs="Arial"/>
          </w:rPr>
          <w:t>2023;28(11)</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9D5AD" w14:textId="42F32BBB" w:rsidR="00BD1157" w:rsidRDefault="00FB4DAD">
    <w:pPr>
      <w:pStyle w:val="Header"/>
    </w:pPr>
    <w:r>
      <w:rPr>
        <w:noProof/>
      </w:rPr>
      <mc:AlternateContent>
        <mc:Choice Requires="wps">
          <w:drawing>
            <wp:anchor distT="0" distB="0" distL="0" distR="0" simplePos="0" relativeHeight="251660295" behindDoc="0" locked="0" layoutInCell="1" allowOverlap="1" wp14:anchorId="05E17C87" wp14:editId="5BF0A6FA">
              <wp:simplePos x="635" y="635"/>
              <wp:positionH relativeFrom="page">
                <wp:align>center</wp:align>
              </wp:positionH>
              <wp:positionV relativeFrom="page">
                <wp:align>top</wp:align>
              </wp:positionV>
              <wp:extent cx="443865" cy="443865"/>
              <wp:effectExtent l="0" t="0" r="11430" b="15240"/>
              <wp:wrapNone/>
              <wp:docPr id="156925787"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F2DB9D" w14:textId="00DFFF63" w:rsidR="00FB4DAD" w:rsidRPr="00FB4DAD" w:rsidRDefault="00FB4DAD" w:rsidP="00FB4DAD">
                          <w:pPr>
                            <w:spacing w:after="0"/>
                            <w:rPr>
                              <w:rFonts w:ascii="Calibri" w:eastAsia="Calibri" w:hAnsi="Calibri" w:cs="Calibri"/>
                              <w:noProof/>
                              <w:color w:val="000000"/>
                              <w:sz w:val="20"/>
                              <w:szCs w:val="20"/>
                            </w:rPr>
                          </w:pPr>
                          <w:r w:rsidRPr="00FB4DAD">
                            <w:rPr>
                              <w:rFonts w:ascii="Calibri" w:eastAsia="Calibri" w:hAnsi="Calibri" w:cs="Calibri"/>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E17C87" id="_x0000_t202" coordsize="21600,21600" o:spt="202" path="m,l,21600r21600,l21600,xe">
              <v:stroke joinstyle="miter"/>
              <v:path gradientshapeok="t" o:connecttype="rect"/>
            </v:shapetype>
            <v:shape id="Text Box 2" o:spid="_x0000_s1027" type="#_x0000_t202" alt="PUBLIC" style="position:absolute;margin-left:0;margin-top:0;width:34.95pt;height:34.95pt;z-index:25166029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75F2DB9D" w14:textId="00DFFF63" w:rsidR="00FB4DAD" w:rsidRPr="00FB4DAD" w:rsidRDefault="00FB4DAD" w:rsidP="00FB4DAD">
                    <w:pPr>
                      <w:spacing w:after="0"/>
                      <w:rPr>
                        <w:rFonts w:ascii="Calibri" w:eastAsia="Calibri" w:hAnsi="Calibri" w:cs="Calibri"/>
                        <w:noProof/>
                        <w:color w:val="000000"/>
                        <w:sz w:val="20"/>
                        <w:szCs w:val="20"/>
                      </w:rPr>
                    </w:pPr>
                    <w:r w:rsidRPr="00FB4DAD">
                      <w:rPr>
                        <w:rFonts w:ascii="Calibri" w:eastAsia="Calibri" w:hAnsi="Calibri" w:cs="Calibri"/>
                        <w:noProof/>
                        <w:color w:val="000000"/>
                        <w:sz w:val="2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2D891" w14:textId="503864E8" w:rsidR="008D113C" w:rsidRPr="00917BB1" w:rsidRDefault="00FB4DAD" w:rsidP="00880A6F">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61319" behindDoc="0" locked="0" layoutInCell="1" allowOverlap="1" wp14:anchorId="491BF038" wp14:editId="7C7CA0F8">
              <wp:simplePos x="533400" y="504825"/>
              <wp:positionH relativeFrom="page">
                <wp:align>center</wp:align>
              </wp:positionH>
              <wp:positionV relativeFrom="page">
                <wp:align>top</wp:align>
              </wp:positionV>
              <wp:extent cx="443865" cy="443865"/>
              <wp:effectExtent l="0" t="0" r="11430" b="15240"/>
              <wp:wrapNone/>
              <wp:docPr id="310234968"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32F1D8" w14:textId="2D74A803" w:rsidR="00FB4DAD" w:rsidRPr="00FB4DAD" w:rsidRDefault="00FB4DAD" w:rsidP="00FB4DAD">
                          <w:pPr>
                            <w:spacing w:after="0"/>
                            <w:rPr>
                              <w:rFonts w:ascii="Calibri" w:eastAsia="Calibri" w:hAnsi="Calibri" w:cs="Calibri"/>
                              <w:noProof/>
                              <w:color w:val="000000"/>
                              <w:sz w:val="20"/>
                              <w:szCs w:val="20"/>
                            </w:rPr>
                          </w:pPr>
                          <w:r w:rsidRPr="00FB4DAD">
                            <w:rPr>
                              <w:rFonts w:ascii="Calibri" w:eastAsia="Calibri" w:hAnsi="Calibri" w:cs="Calibri"/>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1BF038" id="_x0000_t202" coordsize="21600,21600" o:spt="202" path="m,l,21600r21600,l21600,xe">
              <v:stroke joinstyle="miter"/>
              <v:path gradientshapeok="t" o:connecttype="rect"/>
            </v:shapetype>
            <v:shape id="_x0000_s1028" type="#_x0000_t202" alt="PUBLIC" style="position:absolute;left:0;text-align:left;margin-left:0;margin-top:0;width:34.95pt;height:34.95pt;z-index:25166131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3032F1D8" w14:textId="2D74A803" w:rsidR="00FB4DAD" w:rsidRPr="00FB4DAD" w:rsidRDefault="00FB4DAD" w:rsidP="00FB4DAD">
                    <w:pPr>
                      <w:spacing w:after="0"/>
                      <w:rPr>
                        <w:rFonts w:ascii="Calibri" w:eastAsia="Calibri" w:hAnsi="Calibri" w:cs="Calibri"/>
                        <w:noProof/>
                        <w:color w:val="000000"/>
                        <w:sz w:val="20"/>
                        <w:szCs w:val="20"/>
                      </w:rPr>
                    </w:pPr>
                    <w:r w:rsidRPr="00FB4DAD">
                      <w:rPr>
                        <w:rFonts w:ascii="Calibri" w:eastAsia="Calibri" w:hAnsi="Calibri" w:cs="Calibri"/>
                        <w:noProof/>
                        <w:color w:val="000000"/>
                        <w:sz w:val="20"/>
                        <w:szCs w:val="20"/>
                      </w:rPr>
                      <w:t>PUBLIC</w:t>
                    </w:r>
                  </w:p>
                </w:txbxContent>
              </v:textbox>
              <w10:wrap anchorx="page" anchory="page"/>
            </v:shape>
          </w:pict>
        </mc:Fallback>
      </mc:AlternateContent>
    </w:r>
    <w:r w:rsidR="00880A6F" w:rsidRPr="00880A6F">
      <w:rPr>
        <w:color w:val="6E7571" w:themeColor="text2"/>
      </w:rPr>
      <w:t xml:space="preserve">Antimicrobial Resistance (AMR) in the </w:t>
    </w:r>
    <w:r w:rsidR="007E5096">
      <w:rPr>
        <w:color w:val="6E7571" w:themeColor="text2"/>
      </w:rPr>
      <w:t>e</w:t>
    </w:r>
    <w:r w:rsidR="00880A6F" w:rsidRPr="00880A6F">
      <w:rPr>
        <w:color w:val="6E7571" w:themeColor="text2"/>
      </w:rPr>
      <w:t xml:space="preserve">nvironment </w:t>
    </w:r>
  </w:p>
  <w:p w14:paraId="05935B93" w14:textId="3B205F0F"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63EB90F9" wp14:editId="40FF042B">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0B3F17"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C9057" w14:textId="353F15C4" w:rsidR="00BD1157" w:rsidRDefault="00FB4DAD">
    <w:pPr>
      <w:pStyle w:val="Header"/>
    </w:pPr>
    <w:r>
      <w:rPr>
        <w:noProof/>
      </w:rPr>
      <mc:AlternateContent>
        <mc:Choice Requires="wps">
          <w:drawing>
            <wp:anchor distT="0" distB="0" distL="0" distR="0" simplePos="0" relativeHeight="251659271" behindDoc="0" locked="0" layoutInCell="1" allowOverlap="1" wp14:anchorId="5032C729" wp14:editId="15C50C3F">
              <wp:simplePos x="533400" y="504825"/>
              <wp:positionH relativeFrom="page">
                <wp:align>center</wp:align>
              </wp:positionH>
              <wp:positionV relativeFrom="page">
                <wp:align>top</wp:align>
              </wp:positionV>
              <wp:extent cx="443865" cy="443865"/>
              <wp:effectExtent l="0" t="0" r="11430" b="15240"/>
              <wp:wrapNone/>
              <wp:docPr id="1173353326"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A0A211" w14:textId="1D7622B8" w:rsidR="00FB4DAD" w:rsidRPr="00FB4DAD" w:rsidRDefault="00FB4DAD" w:rsidP="00FB4DAD">
                          <w:pPr>
                            <w:spacing w:after="0"/>
                            <w:rPr>
                              <w:rFonts w:ascii="Calibri" w:eastAsia="Calibri" w:hAnsi="Calibri" w:cs="Calibri"/>
                              <w:noProof/>
                              <w:color w:val="000000"/>
                              <w:sz w:val="20"/>
                              <w:szCs w:val="20"/>
                            </w:rPr>
                          </w:pPr>
                          <w:r w:rsidRPr="00FB4DAD">
                            <w:rPr>
                              <w:rFonts w:ascii="Calibri" w:eastAsia="Calibri" w:hAnsi="Calibri" w:cs="Calibri"/>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32C729" id="_x0000_t202" coordsize="21600,21600" o:spt="202" path="m,l,21600r21600,l21600,xe">
              <v:stroke joinstyle="miter"/>
              <v:path gradientshapeok="t" o:connecttype="rect"/>
            </v:shapetype>
            <v:shape id="Text Box 1" o:spid="_x0000_s1031" type="#_x0000_t202" alt="PUBLIC" style="position:absolute;margin-left:0;margin-top:0;width:34.95pt;height:34.95pt;z-index:25165927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30A0A211" w14:textId="1D7622B8" w:rsidR="00FB4DAD" w:rsidRPr="00FB4DAD" w:rsidRDefault="00FB4DAD" w:rsidP="00FB4DAD">
                    <w:pPr>
                      <w:spacing w:after="0"/>
                      <w:rPr>
                        <w:rFonts w:ascii="Calibri" w:eastAsia="Calibri" w:hAnsi="Calibri" w:cs="Calibri"/>
                        <w:noProof/>
                        <w:color w:val="000000"/>
                        <w:sz w:val="20"/>
                        <w:szCs w:val="20"/>
                      </w:rPr>
                    </w:pPr>
                    <w:r w:rsidRPr="00FB4DAD">
                      <w:rPr>
                        <w:rFonts w:ascii="Calibri" w:eastAsia="Calibri" w:hAnsi="Calibri" w:cs="Calibri"/>
                        <w:noProof/>
                        <w:color w:val="000000"/>
                        <w:sz w:val="20"/>
                        <w:szCs w:val="20"/>
                      </w:rPr>
                      <w:t>PUBLIC</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8Ue4fb2f" int2:invalidationBookmarkName="" int2:hashCode="RoHRJMxsS3O6q/" int2:id="1GbwQfNF">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37D323"/>
    <w:multiLevelType w:val="hybridMultilevel"/>
    <w:tmpl w:val="FFFFFFFF"/>
    <w:lvl w:ilvl="0" w:tplc="DEB0980C">
      <w:start w:val="1"/>
      <w:numFmt w:val="bullet"/>
      <w:lvlText w:val=""/>
      <w:lvlJc w:val="left"/>
      <w:pPr>
        <w:ind w:left="720" w:hanging="360"/>
      </w:pPr>
      <w:rPr>
        <w:rFonts w:ascii="Symbol" w:hAnsi="Symbol" w:hint="default"/>
      </w:rPr>
    </w:lvl>
    <w:lvl w:ilvl="1" w:tplc="7EFACB28">
      <w:start w:val="1"/>
      <w:numFmt w:val="bullet"/>
      <w:lvlText w:val="o"/>
      <w:lvlJc w:val="left"/>
      <w:pPr>
        <w:ind w:left="1440" w:hanging="360"/>
      </w:pPr>
      <w:rPr>
        <w:rFonts w:ascii="Courier New" w:hAnsi="Courier New" w:hint="default"/>
      </w:rPr>
    </w:lvl>
    <w:lvl w:ilvl="2" w:tplc="72220540">
      <w:start w:val="1"/>
      <w:numFmt w:val="bullet"/>
      <w:lvlText w:val=""/>
      <w:lvlJc w:val="left"/>
      <w:pPr>
        <w:ind w:left="2160" w:hanging="360"/>
      </w:pPr>
      <w:rPr>
        <w:rFonts w:ascii="Wingdings" w:hAnsi="Wingdings" w:hint="default"/>
      </w:rPr>
    </w:lvl>
    <w:lvl w:ilvl="3" w:tplc="B6D45E68">
      <w:start w:val="1"/>
      <w:numFmt w:val="bullet"/>
      <w:lvlText w:val=""/>
      <w:lvlJc w:val="left"/>
      <w:pPr>
        <w:ind w:left="2880" w:hanging="360"/>
      </w:pPr>
      <w:rPr>
        <w:rFonts w:ascii="Symbol" w:hAnsi="Symbol" w:hint="default"/>
      </w:rPr>
    </w:lvl>
    <w:lvl w:ilvl="4" w:tplc="3F6CA6C4">
      <w:start w:val="1"/>
      <w:numFmt w:val="bullet"/>
      <w:lvlText w:val="o"/>
      <w:lvlJc w:val="left"/>
      <w:pPr>
        <w:ind w:left="3600" w:hanging="360"/>
      </w:pPr>
      <w:rPr>
        <w:rFonts w:ascii="Courier New" w:hAnsi="Courier New" w:hint="default"/>
      </w:rPr>
    </w:lvl>
    <w:lvl w:ilvl="5" w:tplc="2548BFC0">
      <w:start w:val="1"/>
      <w:numFmt w:val="bullet"/>
      <w:lvlText w:val=""/>
      <w:lvlJc w:val="left"/>
      <w:pPr>
        <w:ind w:left="4320" w:hanging="360"/>
      </w:pPr>
      <w:rPr>
        <w:rFonts w:ascii="Wingdings" w:hAnsi="Wingdings" w:hint="default"/>
      </w:rPr>
    </w:lvl>
    <w:lvl w:ilvl="6" w:tplc="CD7001E4">
      <w:start w:val="1"/>
      <w:numFmt w:val="bullet"/>
      <w:lvlText w:val=""/>
      <w:lvlJc w:val="left"/>
      <w:pPr>
        <w:ind w:left="5040" w:hanging="360"/>
      </w:pPr>
      <w:rPr>
        <w:rFonts w:ascii="Symbol" w:hAnsi="Symbol" w:hint="default"/>
      </w:rPr>
    </w:lvl>
    <w:lvl w:ilvl="7" w:tplc="DDF45A66">
      <w:start w:val="1"/>
      <w:numFmt w:val="bullet"/>
      <w:lvlText w:val="o"/>
      <w:lvlJc w:val="left"/>
      <w:pPr>
        <w:ind w:left="5760" w:hanging="360"/>
      </w:pPr>
      <w:rPr>
        <w:rFonts w:ascii="Courier New" w:hAnsi="Courier New" w:hint="default"/>
      </w:rPr>
    </w:lvl>
    <w:lvl w:ilvl="8" w:tplc="8D7C61BC">
      <w:start w:val="1"/>
      <w:numFmt w:val="bullet"/>
      <w:lvlText w:val=""/>
      <w:lvlJc w:val="left"/>
      <w:pPr>
        <w:ind w:left="6480" w:hanging="360"/>
      </w:pPr>
      <w:rPr>
        <w:rFonts w:ascii="Wingdings" w:hAnsi="Wingdings" w:hint="default"/>
      </w:rPr>
    </w:lvl>
  </w:abstractNum>
  <w:abstractNum w:abstractNumId="11" w15:restartNumberingAfterBreak="0">
    <w:nsid w:val="0DD0F0F7"/>
    <w:multiLevelType w:val="hybridMultilevel"/>
    <w:tmpl w:val="FFFFFFFF"/>
    <w:lvl w:ilvl="0" w:tplc="D3D085BE">
      <w:start w:val="1"/>
      <w:numFmt w:val="bullet"/>
      <w:lvlText w:val=""/>
      <w:lvlJc w:val="left"/>
      <w:pPr>
        <w:ind w:left="720" w:hanging="360"/>
      </w:pPr>
    </w:lvl>
    <w:lvl w:ilvl="1" w:tplc="74C2DA34">
      <w:start w:val="1"/>
      <w:numFmt w:val="lowerLetter"/>
      <w:lvlText w:val="%2."/>
      <w:lvlJc w:val="left"/>
      <w:pPr>
        <w:ind w:left="1440" w:hanging="360"/>
      </w:pPr>
    </w:lvl>
    <w:lvl w:ilvl="2" w:tplc="A70870EC">
      <w:start w:val="1"/>
      <w:numFmt w:val="lowerRoman"/>
      <w:lvlText w:val="%3."/>
      <w:lvlJc w:val="right"/>
      <w:pPr>
        <w:ind w:left="2160" w:hanging="180"/>
      </w:pPr>
    </w:lvl>
    <w:lvl w:ilvl="3" w:tplc="82520262">
      <w:start w:val="1"/>
      <w:numFmt w:val="decimal"/>
      <w:lvlText w:val="%4."/>
      <w:lvlJc w:val="left"/>
      <w:pPr>
        <w:ind w:left="2880" w:hanging="360"/>
      </w:pPr>
    </w:lvl>
    <w:lvl w:ilvl="4" w:tplc="A71C47E0">
      <w:start w:val="1"/>
      <w:numFmt w:val="lowerLetter"/>
      <w:lvlText w:val="%5."/>
      <w:lvlJc w:val="left"/>
      <w:pPr>
        <w:ind w:left="3600" w:hanging="360"/>
      </w:pPr>
    </w:lvl>
    <w:lvl w:ilvl="5" w:tplc="BD82ABE2">
      <w:start w:val="1"/>
      <w:numFmt w:val="lowerRoman"/>
      <w:lvlText w:val="%6."/>
      <w:lvlJc w:val="right"/>
      <w:pPr>
        <w:ind w:left="4320" w:hanging="180"/>
      </w:pPr>
    </w:lvl>
    <w:lvl w:ilvl="6" w:tplc="7F9CFB46">
      <w:start w:val="1"/>
      <w:numFmt w:val="decimal"/>
      <w:lvlText w:val="%7."/>
      <w:lvlJc w:val="left"/>
      <w:pPr>
        <w:ind w:left="5040" w:hanging="360"/>
      </w:pPr>
    </w:lvl>
    <w:lvl w:ilvl="7" w:tplc="61820BFE">
      <w:start w:val="1"/>
      <w:numFmt w:val="lowerLetter"/>
      <w:lvlText w:val="%8."/>
      <w:lvlJc w:val="left"/>
      <w:pPr>
        <w:ind w:left="5760" w:hanging="360"/>
      </w:pPr>
    </w:lvl>
    <w:lvl w:ilvl="8" w:tplc="861E8D5C">
      <w:start w:val="1"/>
      <w:numFmt w:val="lowerRoman"/>
      <w:lvlText w:val="%9."/>
      <w:lvlJc w:val="right"/>
      <w:pPr>
        <w:ind w:left="6480" w:hanging="180"/>
      </w:pPr>
    </w:lvl>
  </w:abstractNum>
  <w:abstractNum w:abstractNumId="12" w15:restartNumberingAfterBreak="0">
    <w:nsid w:val="1DE923F9"/>
    <w:multiLevelType w:val="hybridMultilevel"/>
    <w:tmpl w:val="CD0273B8"/>
    <w:lvl w:ilvl="0" w:tplc="D034E104">
      <w:start w:val="1"/>
      <w:numFmt w:val="bullet"/>
      <w:lvlText w:val="·"/>
      <w:lvlJc w:val="left"/>
      <w:pPr>
        <w:ind w:left="720" w:hanging="360"/>
      </w:pPr>
      <w:rPr>
        <w:rFonts w:ascii="Symbol" w:hAnsi="Symbol" w:hint="default"/>
      </w:rPr>
    </w:lvl>
    <w:lvl w:ilvl="1" w:tplc="E2F2E484">
      <w:start w:val="1"/>
      <w:numFmt w:val="bullet"/>
      <w:lvlText w:val="o"/>
      <w:lvlJc w:val="left"/>
      <w:pPr>
        <w:ind w:left="1440" w:hanging="360"/>
      </w:pPr>
      <w:rPr>
        <w:rFonts w:ascii="Courier New" w:hAnsi="Courier New" w:hint="default"/>
      </w:rPr>
    </w:lvl>
    <w:lvl w:ilvl="2" w:tplc="28081928">
      <w:start w:val="1"/>
      <w:numFmt w:val="bullet"/>
      <w:lvlText w:val=""/>
      <w:lvlJc w:val="left"/>
      <w:pPr>
        <w:ind w:left="2160" w:hanging="360"/>
      </w:pPr>
      <w:rPr>
        <w:rFonts w:ascii="Wingdings" w:hAnsi="Wingdings" w:hint="default"/>
      </w:rPr>
    </w:lvl>
    <w:lvl w:ilvl="3" w:tplc="53B83C5A">
      <w:start w:val="1"/>
      <w:numFmt w:val="bullet"/>
      <w:lvlText w:val=""/>
      <w:lvlJc w:val="left"/>
      <w:pPr>
        <w:ind w:left="2880" w:hanging="360"/>
      </w:pPr>
      <w:rPr>
        <w:rFonts w:ascii="Symbol" w:hAnsi="Symbol" w:hint="default"/>
      </w:rPr>
    </w:lvl>
    <w:lvl w:ilvl="4" w:tplc="B906B672">
      <w:start w:val="1"/>
      <w:numFmt w:val="bullet"/>
      <w:lvlText w:val="o"/>
      <w:lvlJc w:val="left"/>
      <w:pPr>
        <w:ind w:left="3600" w:hanging="360"/>
      </w:pPr>
      <w:rPr>
        <w:rFonts w:ascii="Courier New" w:hAnsi="Courier New" w:hint="default"/>
      </w:rPr>
    </w:lvl>
    <w:lvl w:ilvl="5" w:tplc="D2884814">
      <w:start w:val="1"/>
      <w:numFmt w:val="bullet"/>
      <w:lvlText w:val=""/>
      <w:lvlJc w:val="left"/>
      <w:pPr>
        <w:ind w:left="4320" w:hanging="360"/>
      </w:pPr>
      <w:rPr>
        <w:rFonts w:ascii="Wingdings" w:hAnsi="Wingdings" w:hint="default"/>
      </w:rPr>
    </w:lvl>
    <w:lvl w:ilvl="6" w:tplc="B1DCBDBC">
      <w:start w:val="1"/>
      <w:numFmt w:val="bullet"/>
      <w:lvlText w:val=""/>
      <w:lvlJc w:val="left"/>
      <w:pPr>
        <w:ind w:left="5040" w:hanging="360"/>
      </w:pPr>
      <w:rPr>
        <w:rFonts w:ascii="Symbol" w:hAnsi="Symbol" w:hint="default"/>
      </w:rPr>
    </w:lvl>
    <w:lvl w:ilvl="7" w:tplc="4C70B79C">
      <w:start w:val="1"/>
      <w:numFmt w:val="bullet"/>
      <w:lvlText w:val="o"/>
      <w:lvlJc w:val="left"/>
      <w:pPr>
        <w:ind w:left="5760" w:hanging="360"/>
      </w:pPr>
      <w:rPr>
        <w:rFonts w:ascii="Courier New" w:hAnsi="Courier New" w:hint="default"/>
      </w:rPr>
    </w:lvl>
    <w:lvl w:ilvl="8" w:tplc="6C2E8752">
      <w:start w:val="1"/>
      <w:numFmt w:val="bullet"/>
      <w:lvlText w:val=""/>
      <w:lvlJc w:val="left"/>
      <w:pPr>
        <w:ind w:left="6480" w:hanging="360"/>
      </w:pPr>
      <w:rPr>
        <w:rFonts w:ascii="Wingdings" w:hAnsi="Wingdings" w:hint="default"/>
      </w:rPr>
    </w:lvl>
  </w:abstractNum>
  <w:abstractNum w:abstractNumId="13" w15:restartNumberingAfterBreak="0">
    <w:nsid w:val="1F10B46D"/>
    <w:multiLevelType w:val="hybridMultilevel"/>
    <w:tmpl w:val="FFFFFFFF"/>
    <w:lvl w:ilvl="0" w:tplc="7590B172">
      <w:start w:val="2"/>
      <w:numFmt w:val="upperLetter"/>
      <w:lvlText w:val="%1."/>
      <w:lvlJc w:val="left"/>
      <w:pPr>
        <w:ind w:left="720" w:hanging="360"/>
      </w:pPr>
    </w:lvl>
    <w:lvl w:ilvl="1" w:tplc="D4D45F90">
      <w:start w:val="1"/>
      <w:numFmt w:val="lowerLetter"/>
      <w:lvlText w:val="%2."/>
      <w:lvlJc w:val="left"/>
      <w:pPr>
        <w:ind w:left="1440" w:hanging="360"/>
      </w:pPr>
    </w:lvl>
    <w:lvl w:ilvl="2" w:tplc="91420E00">
      <w:start w:val="1"/>
      <w:numFmt w:val="lowerRoman"/>
      <w:lvlText w:val="%3."/>
      <w:lvlJc w:val="right"/>
      <w:pPr>
        <w:ind w:left="2160" w:hanging="180"/>
      </w:pPr>
    </w:lvl>
    <w:lvl w:ilvl="3" w:tplc="66E242CC">
      <w:start w:val="1"/>
      <w:numFmt w:val="decimal"/>
      <w:lvlText w:val="%4."/>
      <w:lvlJc w:val="left"/>
      <w:pPr>
        <w:ind w:left="2880" w:hanging="360"/>
      </w:pPr>
    </w:lvl>
    <w:lvl w:ilvl="4" w:tplc="FF04CA32">
      <w:start w:val="1"/>
      <w:numFmt w:val="lowerLetter"/>
      <w:lvlText w:val="%5."/>
      <w:lvlJc w:val="left"/>
      <w:pPr>
        <w:ind w:left="3600" w:hanging="360"/>
      </w:pPr>
    </w:lvl>
    <w:lvl w:ilvl="5" w:tplc="909AF1EE">
      <w:start w:val="1"/>
      <w:numFmt w:val="lowerRoman"/>
      <w:lvlText w:val="%6."/>
      <w:lvlJc w:val="right"/>
      <w:pPr>
        <w:ind w:left="4320" w:hanging="180"/>
      </w:pPr>
    </w:lvl>
    <w:lvl w:ilvl="6" w:tplc="CF627DA8">
      <w:start w:val="1"/>
      <w:numFmt w:val="decimal"/>
      <w:lvlText w:val="%7."/>
      <w:lvlJc w:val="left"/>
      <w:pPr>
        <w:ind w:left="5040" w:hanging="360"/>
      </w:pPr>
    </w:lvl>
    <w:lvl w:ilvl="7" w:tplc="118A5D2E">
      <w:start w:val="1"/>
      <w:numFmt w:val="lowerLetter"/>
      <w:lvlText w:val="%8."/>
      <w:lvlJc w:val="left"/>
      <w:pPr>
        <w:ind w:left="5760" w:hanging="360"/>
      </w:pPr>
    </w:lvl>
    <w:lvl w:ilvl="8" w:tplc="335EF3AC">
      <w:start w:val="1"/>
      <w:numFmt w:val="lowerRoman"/>
      <w:lvlText w:val="%9."/>
      <w:lvlJc w:val="right"/>
      <w:pPr>
        <w:ind w:left="6480" w:hanging="180"/>
      </w:pPr>
    </w:lvl>
  </w:abstractNum>
  <w:abstractNum w:abstractNumId="14" w15:restartNumberingAfterBreak="0">
    <w:nsid w:val="2BFA0935"/>
    <w:multiLevelType w:val="hybridMultilevel"/>
    <w:tmpl w:val="FFFFFFFF"/>
    <w:lvl w:ilvl="0" w:tplc="5CB02D04">
      <w:start w:val="1"/>
      <w:numFmt w:val="upperLetter"/>
      <w:lvlText w:val="%1."/>
      <w:lvlJc w:val="left"/>
      <w:pPr>
        <w:ind w:left="720" w:hanging="360"/>
      </w:pPr>
    </w:lvl>
    <w:lvl w:ilvl="1" w:tplc="3F76E672">
      <w:start w:val="1"/>
      <w:numFmt w:val="lowerLetter"/>
      <w:lvlText w:val="%2."/>
      <w:lvlJc w:val="left"/>
      <w:pPr>
        <w:ind w:left="1440" w:hanging="360"/>
      </w:pPr>
    </w:lvl>
    <w:lvl w:ilvl="2" w:tplc="212AAFB6">
      <w:start w:val="1"/>
      <w:numFmt w:val="lowerRoman"/>
      <w:lvlText w:val="%3."/>
      <w:lvlJc w:val="right"/>
      <w:pPr>
        <w:ind w:left="2160" w:hanging="180"/>
      </w:pPr>
    </w:lvl>
    <w:lvl w:ilvl="3" w:tplc="4AA4DE96">
      <w:start w:val="1"/>
      <w:numFmt w:val="decimal"/>
      <w:lvlText w:val="%4."/>
      <w:lvlJc w:val="left"/>
      <w:pPr>
        <w:ind w:left="2880" w:hanging="360"/>
      </w:pPr>
    </w:lvl>
    <w:lvl w:ilvl="4" w:tplc="D6E0F03A">
      <w:start w:val="1"/>
      <w:numFmt w:val="lowerLetter"/>
      <w:lvlText w:val="%5."/>
      <w:lvlJc w:val="left"/>
      <w:pPr>
        <w:ind w:left="3600" w:hanging="360"/>
      </w:pPr>
    </w:lvl>
    <w:lvl w:ilvl="5" w:tplc="768E7F8C">
      <w:start w:val="1"/>
      <w:numFmt w:val="lowerRoman"/>
      <w:lvlText w:val="%6."/>
      <w:lvlJc w:val="right"/>
      <w:pPr>
        <w:ind w:left="4320" w:hanging="180"/>
      </w:pPr>
    </w:lvl>
    <w:lvl w:ilvl="6" w:tplc="84426ABC">
      <w:start w:val="1"/>
      <w:numFmt w:val="decimal"/>
      <w:lvlText w:val="%7."/>
      <w:lvlJc w:val="left"/>
      <w:pPr>
        <w:ind w:left="5040" w:hanging="360"/>
      </w:pPr>
    </w:lvl>
    <w:lvl w:ilvl="7" w:tplc="34FCF07A">
      <w:start w:val="1"/>
      <w:numFmt w:val="lowerLetter"/>
      <w:lvlText w:val="%8."/>
      <w:lvlJc w:val="left"/>
      <w:pPr>
        <w:ind w:left="5760" w:hanging="360"/>
      </w:pPr>
    </w:lvl>
    <w:lvl w:ilvl="8" w:tplc="41E8EF52">
      <w:start w:val="1"/>
      <w:numFmt w:val="lowerRoman"/>
      <w:lvlText w:val="%9."/>
      <w:lvlJc w:val="right"/>
      <w:pPr>
        <w:ind w:left="6480" w:hanging="180"/>
      </w:pPr>
    </w:lvl>
  </w:abstractNum>
  <w:abstractNum w:abstractNumId="15" w15:restartNumberingAfterBreak="0">
    <w:nsid w:val="3E9268C6"/>
    <w:multiLevelType w:val="hybridMultilevel"/>
    <w:tmpl w:val="30A2285A"/>
    <w:lvl w:ilvl="0" w:tplc="08090001">
      <w:start w:val="1"/>
      <w:numFmt w:val="bullet"/>
      <w:lvlText w:val=""/>
      <w:lvlJc w:val="left"/>
      <w:pPr>
        <w:ind w:left="720" w:hanging="360"/>
      </w:pPr>
      <w:rPr>
        <w:rFonts w:ascii="Symbol" w:hAnsi="Symbol" w:hint="default"/>
      </w:rPr>
    </w:lvl>
    <w:lvl w:ilvl="1" w:tplc="4B461F3A">
      <w:start w:val="1"/>
      <w:numFmt w:val="bullet"/>
      <w:lvlText w:val="o"/>
      <w:lvlJc w:val="left"/>
      <w:pPr>
        <w:ind w:left="1440" w:hanging="360"/>
      </w:pPr>
      <w:rPr>
        <w:rFonts w:ascii="Courier New" w:hAnsi="Courier New" w:hint="default"/>
      </w:rPr>
    </w:lvl>
    <w:lvl w:ilvl="2" w:tplc="55D2EC58">
      <w:start w:val="1"/>
      <w:numFmt w:val="bullet"/>
      <w:lvlText w:val=""/>
      <w:lvlJc w:val="left"/>
      <w:pPr>
        <w:ind w:left="2160" w:hanging="360"/>
      </w:pPr>
      <w:rPr>
        <w:rFonts w:ascii="Wingdings" w:hAnsi="Wingdings" w:hint="default"/>
      </w:rPr>
    </w:lvl>
    <w:lvl w:ilvl="3" w:tplc="6FA0BAEA">
      <w:start w:val="1"/>
      <w:numFmt w:val="bullet"/>
      <w:lvlText w:val=""/>
      <w:lvlJc w:val="left"/>
      <w:pPr>
        <w:ind w:left="2880" w:hanging="360"/>
      </w:pPr>
      <w:rPr>
        <w:rFonts w:ascii="Symbol" w:hAnsi="Symbol" w:hint="default"/>
      </w:rPr>
    </w:lvl>
    <w:lvl w:ilvl="4" w:tplc="14EACE10">
      <w:start w:val="1"/>
      <w:numFmt w:val="bullet"/>
      <w:lvlText w:val="o"/>
      <w:lvlJc w:val="left"/>
      <w:pPr>
        <w:ind w:left="3600" w:hanging="360"/>
      </w:pPr>
      <w:rPr>
        <w:rFonts w:ascii="Courier New" w:hAnsi="Courier New" w:hint="default"/>
      </w:rPr>
    </w:lvl>
    <w:lvl w:ilvl="5" w:tplc="F7340F32">
      <w:start w:val="1"/>
      <w:numFmt w:val="bullet"/>
      <w:lvlText w:val=""/>
      <w:lvlJc w:val="left"/>
      <w:pPr>
        <w:ind w:left="4320" w:hanging="360"/>
      </w:pPr>
      <w:rPr>
        <w:rFonts w:ascii="Wingdings" w:hAnsi="Wingdings" w:hint="default"/>
      </w:rPr>
    </w:lvl>
    <w:lvl w:ilvl="6" w:tplc="46B887E8">
      <w:start w:val="1"/>
      <w:numFmt w:val="bullet"/>
      <w:lvlText w:val=""/>
      <w:lvlJc w:val="left"/>
      <w:pPr>
        <w:ind w:left="5040" w:hanging="360"/>
      </w:pPr>
      <w:rPr>
        <w:rFonts w:ascii="Symbol" w:hAnsi="Symbol" w:hint="default"/>
      </w:rPr>
    </w:lvl>
    <w:lvl w:ilvl="7" w:tplc="736C67A2">
      <w:start w:val="1"/>
      <w:numFmt w:val="bullet"/>
      <w:lvlText w:val="o"/>
      <w:lvlJc w:val="left"/>
      <w:pPr>
        <w:ind w:left="5760" w:hanging="360"/>
      </w:pPr>
      <w:rPr>
        <w:rFonts w:ascii="Courier New" w:hAnsi="Courier New" w:hint="default"/>
      </w:rPr>
    </w:lvl>
    <w:lvl w:ilvl="8" w:tplc="2BD61932">
      <w:start w:val="1"/>
      <w:numFmt w:val="bullet"/>
      <w:lvlText w:val=""/>
      <w:lvlJc w:val="left"/>
      <w:pPr>
        <w:ind w:left="6480" w:hanging="360"/>
      </w:pPr>
      <w:rPr>
        <w:rFonts w:ascii="Wingdings" w:hAnsi="Wingdings" w:hint="default"/>
      </w:rPr>
    </w:lvl>
  </w:abstractNum>
  <w:abstractNum w:abstractNumId="16" w15:restartNumberingAfterBreak="0">
    <w:nsid w:val="470F66B7"/>
    <w:multiLevelType w:val="hybridMultilevel"/>
    <w:tmpl w:val="B25E4206"/>
    <w:lvl w:ilvl="0" w:tplc="08090001">
      <w:start w:val="1"/>
      <w:numFmt w:val="bullet"/>
      <w:lvlText w:val=""/>
      <w:lvlJc w:val="left"/>
      <w:pPr>
        <w:ind w:left="720" w:hanging="360"/>
      </w:pPr>
      <w:rPr>
        <w:rFonts w:ascii="Symbol" w:hAnsi="Symbol" w:hint="default"/>
      </w:rPr>
    </w:lvl>
    <w:lvl w:ilvl="1" w:tplc="6A887206">
      <w:start w:val="1"/>
      <w:numFmt w:val="lowerLetter"/>
      <w:lvlText w:val="%2."/>
      <w:lvlJc w:val="left"/>
      <w:pPr>
        <w:ind w:left="1440" w:hanging="360"/>
      </w:pPr>
    </w:lvl>
    <w:lvl w:ilvl="2" w:tplc="D47068A4">
      <w:start w:val="1"/>
      <w:numFmt w:val="lowerRoman"/>
      <w:lvlText w:val="%3."/>
      <w:lvlJc w:val="right"/>
      <w:pPr>
        <w:ind w:left="2160" w:hanging="180"/>
      </w:pPr>
    </w:lvl>
    <w:lvl w:ilvl="3" w:tplc="E5407F60">
      <w:start w:val="1"/>
      <w:numFmt w:val="decimal"/>
      <w:lvlText w:val="%4."/>
      <w:lvlJc w:val="left"/>
      <w:pPr>
        <w:ind w:left="2880" w:hanging="360"/>
      </w:pPr>
    </w:lvl>
    <w:lvl w:ilvl="4" w:tplc="1166C938">
      <w:start w:val="1"/>
      <w:numFmt w:val="lowerLetter"/>
      <w:lvlText w:val="%5."/>
      <w:lvlJc w:val="left"/>
      <w:pPr>
        <w:ind w:left="3600" w:hanging="360"/>
      </w:pPr>
    </w:lvl>
    <w:lvl w:ilvl="5" w:tplc="E6803A78">
      <w:start w:val="1"/>
      <w:numFmt w:val="lowerRoman"/>
      <w:lvlText w:val="%6."/>
      <w:lvlJc w:val="right"/>
      <w:pPr>
        <w:ind w:left="4320" w:hanging="180"/>
      </w:pPr>
    </w:lvl>
    <w:lvl w:ilvl="6" w:tplc="8280F65C">
      <w:start w:val="1"/>
      <w:numFmt w:val="decimal"/>
      <w:lvlText w:val="%7."/>
      <w:lvlJc w:val="left"/>
      <w:pPr>
        <w:ind w:left="5040" w:hanging="360"/>
      </w:pPr>
    </w:lvl>
    <w:lvl w:ilvl="7" w:tplc="EC620E8A">
      <w:start w:val="1"/>
      <w:numFmt w:val="lowerLetter"/>
      <w:lvlText w:val="%8."/>
      <w:lvlJc w:val="left"/>
      <w:pPr>
        <w:ind w:left="5760" w:hanging="360"/>
      </w:pPr>
    </w:lvl>
    <w:lvl w:ilvl="8" w:tplc="3C8C4C06">
      <w:start w:val="1"/>
      <w:numFmt w:val="lowerRoman"/>
      <w:lvlText w:val="%9."/>
      <w:lvlJc w:val="right"/>
      <w:pPr>
        <w:ind w:left="6480" w:hanging="180"/>
      </w:pPr>
    </w:lvl>
  </w:abstractNum>
  <w:abstractNum w:abstractNumId="17" w15:restartNumberingAfterBreak="0">
    <w:nsid w:val="4DFE8BBE"/>
    <w:multiLevelType w:val="hybridMultilevel"/>
    <w:tmpl w:val="FFFFFFFF"/>
    <w:lvl w:ilvl="0" w:tplc="F0102DEE">
      <w:start w:val="1"/>
      <w:numFmt w:val="decimal"/>
      <w:lvlText w:val="%1."/>
      <w:lvlJc w:val="left"/>
      <w:pPr>
        <w:ind w:left="720" w:hanging="360"/>
      </w:pPr>
    </w:lvl>
    <w:lvl w:ilvl="1" w:tplc="937CA572">
      <w:start w:val="1"/>
      <w:numFmt w:val="lowerLetter"/>
      <w:lvlText w:val="%2."/>
      <w:lvlJc w:val="left"/>
      <w:pPr>
        <w:ind w:left="1440" w:hanging="360"/>
      </w:pPr>
    </w:lvl>
    <w:lvl w:ilvl="2" w:tplc="B46C1A02">
      <w:start w:val="1"/>
      <w:numFmt w:val="lowerRoman"/>
      <w:lvlText w:val="%3."/>
      <w:lvlJc w:val="right"/>
      <w:pPr>
        <w:ind w:left="2160" w:hanging="180"/>
      </w:pPr>
    </w:lvl>
    <w:lvl w:ilvl="3" w:tplc="2C368C06">
      <w:start w:val="1"/>
      <w:numFmt w:val="decimal"/>
      <w:lvlText w:val="%4."/>
      <w:lvlJc w:val="left"/>
      <w:pPr>
        <w:ind w:left="2880" w:hanging="360"/>
      </w:pPr>
    </w:lvl>
    <w:lvl w:ilvl="4" w:tplc="34ECA5F8">
      <w:start w:val="1"/>
      <w:numFmt w:val="lowerLetter"/>
      <w:lvlText w:val="%5."/>
      <w:lvlJc w:val="left"/>
      <w:pPr>
        <w:ind w:left="3600" w:hanging="360"/>
      </w:pPr>
    </w:lvl>
    <w:lvl w:ilvl="5" w:tplc="BC8CBBE8">
      <w:start w:val="1"/>
      <w:numFmt w:val="lowerRoman"/>
      <w:lvlText w:val="%6."/>
      <w:lvlJc w:val="right"/>
      <w:pPr>
        <w:ind w:left="4320" w:hanging="180"/>
      </w:pPr>
    </w:lvl>
    <w:lvl w:ilvl="6" w:tplc="3990BFD8">
      <w:start w:val="1"/>
      <w:numFmt w:val="decimal"/>
      <w:lvlText w:val="%7."/>
      <w:lvlJc w:val="left"/>
      <w:pPr>
        <w:ind w:left="5040" w:hanging="360"/>
      </w:pPr>
    </w:lvl>
    <w:lvl w:ilvl="7" w:tplc="32E87A46">
      <w:start w:val="1"/>
      <w:numFmt w:val="lowerLetter"/>
      <w:lvlText w:val="%8."/>
      <w:lvlJc w:val="left"/>
      <w:pPr>
        <w:ind w:left="5760" w:hanging="360"/>
      </w:pPr>
    </w:lvl>
    <w:lvl w:ilvl="8" w:tplc="51F48DF8">
      <w:start w:val="1"/>
      <w:numFmt w:val="lowerRoman"/>
      <w:lvlText w:val="%9."/>
      <w:lvlJc w:val="right"/>
      <w:pPr>
        <w:ind w:left="6480" w:hanging="180"/>
      </w:pPr>
    </w:lvl>
  </w:abstractNum>
  <w:abstractNum w:abstractNumId="18" w15:restartNumberingAfterBreak="0">
    <w:nsid w:val="4FAB9A26"/>
    <w:multiLevelType w:val="hybridMultilevel"/>
    <w:tmpl w:val="53EACE38"/>
    <w:lvl w:ilvl="0" w:tplc="08090001">
      <w:start w:val="1"/>
      <w:numFmt w:val="bullet"/>
      <w:lvlText w:val=""/>
      <w:lvlJc w:val="left"/>
      <w:pPr>
        <w:ind w:left="720" w:hanging="360"/>
      </w:pPr>
      <w:rPr>
        <w:rFonts w:ascii="Symbol" w:hAnsi="Symbol" w:hint="default"/>
      </w:rPr>
    </w:lvl>
    <w:lvl w:ilvl="1" w:tplc="2CD2E1E8">
      <w:start w:val="1"/>
      <w:numFmt w:val="lowerLetter"/>
      <w:lvlText w:val="%2."/>
      <w:lvlJc w:val="left"/>
      <w:pPr>
        <w:ind w:left="1440" w:hanging="360"/>
      </w:pPr>
    </w:lvl>
    <w:lvl w:ilvl="2" w:tplc="1ACED9AC">
      <w:start w:val="1"/>
      <w:numFmt w:val="lowerRoman"/>
      <w:lvlText w:val="%3."/>
      <w:lvlJc w:val="right"/>
      <w:pPr>
        <w:ind w:left="2160" w:hanging="180"/>
      </w:pPr>
    </w:lvl>
    <w:lvl w:ilvl="3" w:tplc="438CD558">
      <w:start w:val="1"/>
      <w:numFmt w:val="decimal"/>
      <w:lvlText w:val="%4."/>
      <w:lvlJc w:val="left"/>
      <w:pPr>
        <w:ind w:left="2880" w:hanging="360"/>
      </w:pPr>
    </w:lvl>
    <w:lvl w:ilvl="4" w:tplc="45E846EA">
      <w:start w:val="1"/>
      <w:numFmt w:val="lowerLetter"/>
      <w:lvlText w:val="%5."/>
      <w:lvlJc w:val="left"/>
      <w:pPr>
        <w:ind w:left="3600" w:hanging="360"/>
      </w:pPr>
    </w:lvl>
    <w:lvl w:ilvl="5" w:tplc="D114A0E4">
      <w:start w:val="1"/>
      <w:numFmt w:val="lowerRoman"/>
      <w:lvlText w:val="%6."/>
      <w:lvlJc w:val="right"/>
      <w:pPr>
        <w:ind w:left="4320" w:hanging="180"/>
      </w:pPr>
    </w:lvl>
    <w:lvl w:ilvl="6" w:tplc="D3A64442">
      <w:start w:val="1"/>
      <w:numFmt w:val="decimal"/>
      <w:lvlText w:val="%7."/>
      <w:lvlJc w:val="left"/>
      <w:pPr>
        <w:ind w:left="5040" w:hanging="360"/>
      </w:pPr>
    </w:lvl>
    <w:lvl w:ilvl="7" w:tplc="10807E82">
      <w:start w:val="1"/>
      <w:numFmt w:val="lowerLetter"/>
      <w:lvlText w:val="%8."/>
      <w:lvlJc w:val="left"/>
      <w:pPr>
        <w:ind w:left="5760" w:hanging="360"/>
      </w:pPr>
    </w:lvl>
    <w:lvl w:ilvl="8" w:tplc="E3BAED38">
      <w:start w:val="1"/>
      <w:numFmt w:val="lowerRoman"/>
      <w:lvlText w:val="%9."/>
      <w:lvlJc w:val="right"/>
      <w:pPr>
        <w:ind w:left="6480" w:hanging="180"/>
      </w:pPr>
    </w:lvl>
  </w:abstractNum>
  <w:abstractNum w:abstractNumId="19" w15:restartNumberingAfterBreak="0">
    <w:nsid w:val="51BD8F78"/>
    <w:multiLevelType w:val="hybridMultilevel"/>
    <w:tmpl w:val="FFFFFFFF"/>
    <w:lvl w:ilvl="0" w:tplc="E250BB2E">
      <w:start w:val="1"/>
      <w:numFmt w:val="decimal"/>
      <w:lvlText w:val="%1."/>
      <w:lvlJc w:val="left"/>
      <w:pPr>
        <w:ind w:left="720" w:hanging="360"/>
      </w:pPr>
    </w:lvl>
    <w:lvl w:ilvl="1" w:tplc="601EFB18">
      <w:start w:val="1"/>
      <w:numFmt w:val="lowerLetter"/>
      <w:lvlText w:val="%2."/>
      <w:lvlJc w:val="left"/>
      <w:pPr>
        <w:ind w:left="1440" w:hanging="360"/>
      </w:pPr>
    </w:lvl>
    <w:lvl w:ilvl="2" w:tplc="5D668410">
      <w:start w:val="1"/>
      <w:numFmt w:val="lowerRoman"/>
      <w:lvlText w:val="%3."/>
      <w:lvlJc w:val="right"/>
      <w:pPr>
        <w:ind w:left="2160" w:hanging="180"/>
      </w:pPr>
    </w:lvl>
    <w:lvl w:ilvl="3" w:tplc="EB1A0ABA">
      <w:start w:val="1"/>
      <w:numFmt w:val="decimal"/>
      <w:lvlText w:val="%4."/>
      <w:lvlJc w:val="left"/>
      <w:pPr>
        <w:ind w:left="2880" w:hanging="360"/>
      </w:pPr>
    </w:lvl>
    <w:lvl w:ilvl="4" w:tplc="D86EA74E">
      <w:start w:val="1"/>
      <w:numFmt w:val="lowerLetter"/>
      <w:lvlText w:val="%5."/>
      <w:lvlJc w:val="left"/>
      <w:pPr>
        <w:ind w:left="3600" w:hanging="360"/>
      </w:pPr>
    </w:lvl>
    <w:lvl w:ilvl="5" w:tplc="ED44DF10">
      <w:start w:val="1"/>
      <w:numFmt w:val="lowerRoman"/>
      <w:lvlText w:val="%6."/>
      <w:lvlJc w:val="right"/>
      <w:pPr>
        <w:ind w:left="4320" w:hanging="180"/>
      </w:pPr>
    </w:lvl>
    <w:lvl w:ilvl="6" w:tplc="F4E8FDBC">
      <w:start w:val="1"/>
      <w:numFmt w:val="decimal"/>
      <w:lvlText w:val="%7."/>
      <w:lvlJc w:val="left"/>
      <w:pPr>
        <w:ind w:left="5040" w:hanging="360"/>
      </w:pPr>
    </w:lvl>
    <w:lvl w:ilvl="7" w:tplc="E00A888A">
      <w:start w:val="1"/>
      <w:numFmt w:val="lowerLetter"/>
      <w:lvlText w:val="%8."/>
      <w:lvlJc w:val="left"/>
      <w:pPr>
        <w:ind w:left="5760" w:hanging="360"/>
      </w:pPr>
    </w:lvl>
    <w:lvl w:ilvl="8" w:tplc="854890D2">
      <w:start w:val="1"/>
      <w:numFmt w:val="lowerRoman"/>
      <w:lvlText w:val="%9."/>
      <w:lvlJc w:val="right"/>
      <w:pPr>
        <w:ind w:left="6480" w:hanging="180"/>
      </w:pPr>
    </w:lvl>
  </w:abstractNum>
  <w:abstractNum w:abstractNumId="20" w15:restartNumberingAfterBreak="0">
    <w:nsid w:val="5B5661E6"/>
    <w:multiLevelType w:val="hybridMultilevel"/>
    <w:tmpl w:val="FFFFFFFF"/>
    <w:lvl w:ilvl="0" w:tplc="5BC61CD2">
      <w:start w:val="1"/>
      <w:numFmt w:val="bullet"/>
      <w:lvlText w:val=""/>
      <w:lvlJc w:val="left"/>
      <w:pPr>
        <w:ind w:left="720" w:hanging="360"/>
      </w:pPr>
    </w:lvl>
    <w:lvl w:ilvl="1" w:tplc="22B61BD0">
      <w:start w:val="1"/>
      <w:numFmt w:val="lowerLetter"/>
      <w:lvlText w:val="%2."/>
      <w:lvlJc w:val="left"/>
      <w:pPr>
        <w:ind w:left="1440" w:hanging="360"/>
      </w:pPr>
    </w:lvl>
    <w:lvl w:ilvl="2" w:tplc="6ADCFDAE">
      <w:start w:val="1"/>
      <w:numFmt w:val="lowerRoman"/>
      <w:lvlText w:val="%3."/>
      <w:lvlJc w:val="right"/>
      <w:pPr>
        <w:ind w:left="2160" w:hanging="180"/>
      </w:pPr>
    </w:lvl>
    <w:lvl w:ilvl="3" w:tplc="C61E1790">
      <w:start w:val="1"/>
      <w:numFmt w:val="decimal"/>
      <w:lvlText w:val="%4."/>
      <w:lvlJc w:val="left"/>
      <w:pPr>
        <w:ind w:left="2880" w:hanging="360"/>
      </w:pPr>
    </w:lvl>
    <w:lvl w:ilvl="4" w:tplc="562C5258">
      <w:start w:val="1"/>
      <w:numFmt w:val="lowerLetter"/>
      <w:lvlText w:val="%5."/>
      <w:lvlJc w:val="left"/>
      <w:pPr>
        <w:ind w:left="3600" w:hanging="360"/>
      </w:pPr>
    </w:lvl>
    <w:lvl w:ilvl="5" w:tplc="7A86EE40">
      <w:start w:val="1"/>
      <w:numFmt w:val="lowerRoman"/>
      <w:lvlText w:val="%6."/>
      <w:lvlJc w:val="right"/>
      <w:pPr>
        <w:ind w:left="4320" w:hanging="180"/>
      </w:pPr>
    </w:lvl>
    <w:lvl w:ilvl="6" w:tplc="C372600C">
      <w:start w:val="1"/>
      <w:numFmt w:val="decimal"/>
      <w:lvlText w:val="%7."/>
      <w:lvlJc w:val="left"/>
      <w:pPr>
        <w:ind w:left="5040" w:hanging="360"/>
      </w:pPr>
    </w:lvl>
    <w:lvl w:ilvl="7" w:tplc="3D52FF8E">
      <w:start w:val="1"/>
      <w:numFmt w:val="lowerLetter"/>
      <w:lvlText w:val="%8."/>
      <w:lvlJc w:val="left"/>
      <w:pPr>
        <w:ind w:left="5760" w:hanging="360"/>
      </w:pPr>
    </w:lvl>
    <w:lvl w:ilvl="8" w:tplc="90E64098">
      <w:start w:val="1"/>
      <w:numFmt w:val="lowerRoman"/>
      <w:lvlText w:val="%9."/>
      <w:lvlJc w:val="right"/>
      <w:pPr>
        <w:ind w:left="6480" w:hanging="180"/>
      </w:pPr>
    </w:lvl>
  </w:abstractNum>
  <w:abstractNum w:abstractNumId="21" w15:restartNumberingAfterBreak="0">
    <w:nsid w:val="68A3B528"/>
    <w:multiLevelType w:val="hybridMultilevel"/>
    <w:tmpl w:val="FFFFFFFF"/>
    <w:lvl w:ilvl="0" w:tplc="1E983794">
      <w:start w:val="1"/>
      <w:numFmt w:val="bullet"/>
      <w:lvlText w:val=""/>
      <w:lvlJc w:val="left"/>
      <w:pPr>
        <w:ind w:left="720" w:hanging="360"/>
      </w:pPr>
    </w:lvl>
    <w:lvl w:ilvl="1" w:tplc="B204C6DE">
      <w:start w:val="1"/>
      <w:numFmt w:val="lowerLetter"/>
      <w:lvlText w:val="%2."/>
      <w:lvlJc w:val="left"/>
      <w:pPr>
        <w:ind w:left="1440" w:hanging="360"/>
      </w:pPr>
    </w:lvl>
    <w:lvl w:ilvl="2" w:tplc="D0BA2806">
      <w:start w:val="1"/>
      <w:numFmt w:val="lowerRoman"/>
      <w:lvlText w:val="%3."/>
      <w:lvlJc w:val="right"/>
      <w:pPr>
        <w:ind w:left="2160" w:hanging="180"/>
      </w:pPr>
    </w:lvl>
    <w:lvl w:ilvl="3" w:tplc="C3A40472">
      <w:start w:val="1"/>
      <w:numFmt w:val="decimal"/>
      <w:lvlText w:val="%4."/>
      <w:lvlJc w:val="left"/>
      <w:pPr>
        <w:ind w:left="2880" w:hanging="360"/>
      </w:pPr>
    </w:lvl>
    <w:lvl w:ilvl="4" w:tplc="0A30243A">
      <w:start w:val="1"/>
      <w:numFmt w:val="lowerLetter"/>
      <w:lvlText w:val="%5."/>
      <w:lvlJc w:val="left"/>
      <w:pPr>
        <w:ind w:left="3600" w:hanging="360"/>
      </w:pPr>
    </w:lvl>
    <w:lvl w:ilvl="5" w:tplc="1DA256B0">
      <w:start w:val="1"/>
      <w:numFmt w:val="lowerRoman"/>
      <w:lvlText w:val="%6."/>
      <w:lvlJc w:val="right"/>
      <w:pPr>
        <w:ind w:left="4320" w:hanging="180"/>
      </w:pPr>
    </w:lvl>
    <w:lvl w:ilvl="6" w:tplc="1CB0E6E4">
      <w:start w:val="1"/>
      <w:numFmt w:val="decimal"/>
      <w:lvlText w:val="%7."/>
      <w:lvlJc w:val="left"/>
      <w:pPr>
        <w:ind w:left="5040" w:hanging="360"/>
      </w:pPr>
    </w:lvl>
    <w:lvl w:ilvl="7" w:tplc="670EE688">
      <w:start w:val="1"/>
      <w:numFmt w:val="lowerLetter"/>
      <w:lvlText w:val="%8."/>
      <w:lvlJc w:val="left"/>
      <w:pPr>
        <w:ind w:left="5760" w:hanging="360"/>
      </w:pPr>
    </w:lvl>
    <w:lvl w:ilvl="8" w:tplc="AD9CE6CE">
      <w:start w:val="1"/>
      <w:numFmt w:val="lowerRoman"/>
      <w:lvlText w:val="%9."/>
      <w:lvlJc w:val="right"/>
      <w:pPr>
        <w:ind w:left="6480" w:hanging="180"/>
      </w:pPr>
    </w:lvl>
  </w:abstractNum>
  <w:abstractNum w:abstractNumId="22"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255305"/>
    <w:multiLevelType w:val="hybridMultilevel"/>
    <w:tmpl w:val="71A421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77B1A5F4"/>
    <w:multiLevelType w:val="hybridMultilevel"/>
    <w:tmpl w:val="FFFFFFFF"/>
    <w:lvl w:ilvl="0" w:tplc="543A9E40">
      <w:start w:val="1"/>
      <w:numFmt w:val="decimal"/>
      <w:lvlText w:val="%1."/>
      <w:lvlJc w:val="left"/>
      <w:pPr>
        <w:ind w:left="720" w:hanging="360"/>
      </w:pPr>
    </w:lvl>
    <w:lvl w:ilvl="1" w:tplc="9B326A66">
      <w:start w:val="1"/>
      <w:numFmt w:val="lowerLetter"/>
      <w:lvlText w:val="%2."/>
      <w:lvlJc w:val="left"/>
      <w:pPr>
        <w:ind w:left="1440" w:hanging="360"/>
      </w:pPr>
    </w:lvl>
    <w:lvl w:ilvl="2" w:tplc="568A7E84">
      <w:start w:val="1"/>
      <w:numFmt w:val="lowerRoman"/>
      <w:lvlText w:val="%3."/>
      <w:lvlJc w:val="right"/>
      <w:pPr>
        <w:ind w:left="2160" w:hanging="180"/>
      </w:pPr>
    </w:lvl>
    <w:lvl w:ilvl="3" w:tplc="F4B2E1D0">
      <w:start w:val="1"/>
      <w:numFmt w:val="decimal"/>
      <w:lvlText w:val="%4."/>
      <w:lvlJc w:val="left"/>
      <w:pPr>
        <w:ind w:left="2880" w:hanging="360"/>
      </w:pPr>
    </w:lvl>
    <w:lvl w:ilvl="4" w:tplc="A6488302">
      <w:start w:val="1"/>
      <w:numFmt w:val="lowerLetter"/>
      <w:lvlText w:val="%5."/>
      <w:lvlJc w:val="left"/>
      <w:pPr>
        <w:ind w:left="3600" w:hanging="360"/>
      </w:pPr>
    </w:lvl>
    <w:lvl w:ilvl="5" w:tplc="5CDCCE88">
      <w:start w:val="1"/>
      <w:numFmt w:val="lowerRoman"/>
      <w:lvlText w:val="%6."/>
      <w:lvlJc w:val="right"/>
      <w:pPr>
        <w:ind w:left="4320" w:hanging="180"/>
      </w:pPr>
    </w:lvl>
    <w:lvl w:ilvl="6" w:tplc="E1DC777A">
      <w:start w:val="1"/>
      <w:numFmt w:val="decimal"/>
      <w:lvlText w:val="%7."/>
      <w:lvlJc w:val="left"/>
      <w:pPr>
        <w:ind w:left="5040" w:hanging="360"/>
      </w:pPr>
    </w:lvl>
    <w:lvl w:ilvl="7" w:tplc="0C464D54">
      <w:start w:val="1"/>
      <w:numFmt w:val="lowerLetter"/>
      <w:lvlText w:val="%8."/>
      <w:lvlJc w:val="left"/>
      <w:pPr>
        <w:ind w:left="5760" w:hanging="360"/>
      </w:pPr>
    </w:lvl>
    <w:lvl w:ilvl="8" w:tplc="EF38C7E4">
      <w:start w:val="1"/>
      <w:numFmt w:val="lowerRoman"/>
      <w:lvlText w:val="%9."/>
      <w:lvlJc w:val="right"/>
      <w:pPr>
        <w:ind w:left="6480" w:hanging="180"/>
      </w:pPr>
    </w:lvl>
  </w:abstractNum>
  <w:num w:numId="1" w16cid:durableId="873227022">
    <w:abstractNumId w:val="15"/>
  </w:num>
  <w:num w:numId="2" w16cid:durableId="1240795754">
    <w:abstractNumId w:val="10"/>
  </w:num>
  <w:num w:numId="3" w16cid:durableId="1257330360">
    <w:abstractNumId w:val="11"/>
  </w:num>
  <w:num w:numId="4" w16cid:durableId="355235701">
    <w:abstractNumId w:val="17"/>
  </w:num>
  <w:num w:numId="5" w16cid:durableId="1184130675">
    <w:abstractNumId w:val="19"/>
  </w:num>
  <w:num w:numId="6" w16cid:durableId="1577665710">
    <w:abstractNumId w:val="24"/>
  </w:num>
  <w:num w:numId="7" w16cid:durableId="1200700287">
    <w:abstractNumId w:val="21"/>
  </w:num>
  <w:num w:numId="8" w16cid:durableId="5376829">
    <w:abstractNumId w:val="13"/>
  </w:num>
  <w:num w:numId="9" w16cid:durableId="659693143">
    <w:abstractNumId w:val="14"/>
  </w:num>
  <w:num w:numId="10" w16cid:durableId="626351263">
    <w:abstractNumId w:val="16"/>
  </w:num>
  <w:num w:numId="11" w16cid:durableId="680622023">
    <w:abstractNumId w:val="20"/>
  </w:num>
  <w:num w:numId="12" w16cid:durableId="6564911">
    <w:abstractNumId w:val="18"/>
  </w:num>
  <w:num w:numId="13" w16cid:durableId="1136991833">
    <w:abstractNumId w:val="0"/>
  </w:num>
  <w:num w:numId="14" w16cid:durableId="2105566417">
    <w:abstractNumId w:val="1"/>
  </w:num>
  <w:num w:numId="15" w16cid:durableId="1805927877">
    <w:abstractNumId w:val="2"/>
  </w:num>
  <w:num w:numId="16" w16cid:durableId="905798264">
    <w:abstractNumId w:val="3"/>
  </w:num>
  <w:num w:numId="17" w16cid:durableId="1414813136">
    <w:abstractNumId w:val="8"/>
  </w:num>
  <w:num w:numId="18" w16cid:durableId="79523064">
    <w:abstractNumId w:val="4"/>
  </w:num>
  <w:num w:numId="19" w16cid:durableId="1085418359">
    <w:abstractNumId w:val="5"/>
  </w:num>
  <w:num w:numId="20" w16cid:durableId="500970126">
    <w:abstractNumId w:val="6"/>
  </w:num>
  <w:num w:numId="21" w16cid:durableId="683829009">
    <w:abstractNumId w:val="7"/>
  </w:num>
  <w:num w:numId="22" w16cid:durableId="2124495314">
    <w:abstractNumId w:val="9"/>
  </w:num>
  <w:num w:numId="23" w16cid:durableId="5981775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4859167">
    <w:abstractNumId w:val="23"/>
  </w:num>
  <w:num w:numId="25" w16cid:durableId="228226909">
    <w:abstractNumId w:val="22"/>
  </w:num>
  <w:num w:numId="26" w16cid:durableId="16804254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96D"/>
    <w:rsid w:val="000003E8"/>
    <w:rsid w:val="0000107C"/>
    <w:rsid w:val="00004091"/>
    <w:rsid w:val="000049E1"/>
    <w:rsid w:val="00021251"/>
    <w:rsid w:val="00021C13"/>
    <w:rsid w:val="00023349"/>
    <w:rsid w:val="00027A4D"/>
    <w:rsid w:val="00032829"/>
    <w:rsid w:val="0003411A"/>
    <w:rsid w:val="000368F7"/>
    <w:rsid w:val="00036996"/>
    <w:rsid w:val="000403BA"/>
    <w:rsid w:val="00040561"/>
    <w:rsid w:val="000523AA"/>
    <w:rsid w:val="000542DA"/>
    <w:rsid w:val="0005489A"/>
    <w:rsid w:val="0006113F"/>
    <w:rsid w:val="00061331"/>
    <w:rsid w:val="00070937"/>
    <w:rsid w:val="000717DD"/>
    <w:rsid w:val="00075161"/>
    <w:rsid w:val="00081C88"/>
    <w:rsid w:val="00082E76"/>
    <w:rsid w:val="00092234"/>
    <w:rsid w:val="00095371"/>
    <w:rsid w:val="000A35D7"/>
    <w:rsid w:val="000A43C6"/>
    <w:rsid w:val="000B1A1B"/>
    <w:rsid w:val="000B4448"/>
    <w:rsid w:val="000B7559"/>
    <w:rsid w:val="000C5F8F"/>
    <w:rsid w:val="000D5EEA"/>
    <w:rsid w:val="000E0D15"/>
    <w:rsid w:val="000E2223"/>
    <w:rsid w:val="000E2BA5"/>
    <w:rsid w:val="00105F31"/>
    <w:rsid w:val="00106D9E"/>
    <w:rsid w:val="00107515"/>
    <w:rsid w:val="001211E2"/>
    <w:rsid w:val="001303FC"/>
    <w:rsid w:val="00130572"/>
    <w:rsid w:val="001388E9"/>
    <w:rsid w:val="0014041B"/>
    <w:rsid w:val="00141152"/>
    <w:rsid w:val="00145D7A"/>
    <w:rsid w:val="0015354D"/>
    <w:rsid w:val="001557CA"/>
    <w:rsid w:val="00167B4D"/>
    <w:rsid w:val="0016BEBE"/>
    <w:rsid w:val="001726D9"/>
    <w:rsid w:val="00176A0E"/>
    <w:rsid w:val="00180080"/>
    <w:rsid w:val="00184ED9"/>
    <w:rsid w:val="001A5419"/>
    <w:rsid w:val="001C37C8"/>
    <w:rsid w:val="001C3A2B"/>
    <w:rsid w:val="001D3686"/>
    <w:rsid w:val="001E46C1"/>
    <w:rsid w:val="001F133B"/>
    <w:rsid w:val="002312EC"/>
    <w:rsid w:val="002329C9"/>
    <w:rsid w:val="00233655"/>
    <w:rsid w:val="00236552"/>
    <w:rsid w:val="00236F46"/>
    <w:rsid w:val="00262CA6"/>
    <w:rsid w:val="00266632"/>
    <w:rsid w:val="00272941"/>
    <w:rsid w:val="00274ADC"/>
    <w:rsid w:val="00276CE1"/>
    <w:rsid w:val="00281571"/>
    <w:rsid w:val="00281BB1"/>
    <w:rsid w:val="00290B1F"/>
    <w:rsid w:val="002919C2"/>
    <w:rsid w:val="0029219D"/>
    <w:rsid w:val="00297A90"/>
    <w:rsid w:val="002A0AF4"/>
    <w:rsid w:val="002B2C43"/>
    <w:rsid w:val="002C41A4"/>
    <w:rsid w:val="002E0A05"/>
    <w:rsid w:val="0030096D"/>
    <w:rsid w:val="00301F6F"/>
    <w:rsid w:val="00317618"/>
    <w:rsid w:val="00327B56"/>
    <w:rsid w:val="00331C51"/>
    <w:rsid w:val="00343866"/>
    <w:rsid w:val="00351F12"/>
    <w:rsid w:val="003526D6"/>
    <w:rsid w:val="00354489"/>
    <w:rsid w:val="00363B50"/>
    <w:rsid w:val="00371E3A"/>
    <w:rsid w:val="003738C6"/>
    <w:rsid w:val="003876E0"/>
    <w:rsid w:val="00394401"/>
    <w:rsid w:val="003949C1"/>
    <w:rsid w:val="00395979"/>
    <w:rsid w:val="00395EA3"/>
    <w:rsid w:val="003A69EB"/>
    <w:rsid w:val="003A7313"/>
    <w:rsid w:val="003B2E4C"/>
    <w:rsid w:val="003B369B"/>
    <w:rsid w:val="003B7242"/>
    <w:rsid w:val="003D3309"/>
    <w:rsid w:val="003DC26B"/>
    <w:rsid w:val="003E4E7B"/>
    <w:rsid w:val="003F5384"/>
    <w:rsid w:val="003F5C8D"/>
    <w:rsid w:val="004073BC"/>
    <w:rsid w:val="0041741A"/>
    <w:rsid w:val="0044302B"/>
    <w:rsid w:val="00444AA1"/>
    <w:rsid w:val="00452FAA"/>
    <w:rsid w:val="00453D81"/>
    <w:rsid w:val="00455547"/>
    <w:rsid w:val="00456D18"/>
    <w:rsid w:val="00490861"/>
    <w:rsid w:val="00491D5D"/>
    <w:rsid w:val="004C3071"/>
    <w:rsid w:val="004C3152"/>
    <w:rsid w:val="004D6EB9"/>
    <w:rsid w:val="004F0605"/>
    <w:rsid w:val="004F309B"/>
    <w:rsid w:val="0050441A"/>
    <w:rsid w:val="00505D1E"/>
    <w:rsid w:val="00506324"/>
    <w:rsid w:val="00522038"/>
    <w:rsid w:val="00532F3F"/>
    <w:rsid w:val="00533767"/>
    <w:rsid w:val="00535792"/>
    <w:rsid w:val="00536B25"/>
    <w:rsid w:val="00544108"/>
    <w:rsid w:val="005463E7"/>
    <w:rsid w:val="00546B99"/>
    <w:rsid w:val="00551989"/>
    <w:rsid w:val="00556C8A"/>
    <w:rsid w:val="00561D32"/>
    <w:rsid w:val="00566AF8"/>
    <w:rsid w:val="00587AB9"/>
    <w:rsid w:val="00592EB7"/>
    <w:rsid w:val="005955D9"/>
    <w:rsid w:val="005A355E"/>
    <w:rsid w:val="005A54D9"/>
    <w:rsid w:val="005B7E86"/>
    <w:rsid w:val="005C134F"/>
    <w:rsid w:val="005C1785"/>
    <w:rsid w:val="005C608A"/>
    <w:rsid w:val="005C7DC8"/>
    <w:rsid w:val="005D1213"/>
    <w:rsid w:val="005D4862"/>
    <w:rsid w:val="005E0849"/>
    <w:rsid w:val="005E7FCD"/>
    <w:rsid w:val="005F005A"/>
    <w:rsid w:val="005F5999"/>
    <w:rsid w:val="00601B78"/>
    <w:rsid w:val="0061492B"/>
    <w:rsid w:val="00622442"/>
    <w:rsid w:val="006232D3"/>
    <w:rsid w:val="006243FF"/>
    <w:rsid w:val="00630808"/>
    <w:rsid w:val="00635DB8"/>
    <w:rsid w:val="00647996"/>
    <w:rsid w:val="00660C79"/>
    <w:rsid w:val="00671D97"/>
    <w:rsid w:val="006B46AA"/>
    <w:rsid w:val="006B7C09"/>
    <w:rsid w:val="006D16CE"/>
    <w:rsid w:val="006D69D5"/>
    <w:rsid w:val="006E26DB"/>
    <w:rsid w:val="006F0DB2"/>
    <w:rsid w:val="007031F6"/>
    <w:rsid w:val="007129B2"/>
    <w:rsid w:val="00722C93"/>
    <w:rsid w:val="007232E0"/>
    <w:rsid w:val="00723B96"/>
    <w:rsid w:val="00732439"/>
    <w:rsid w:val="00732B07"/>
    <w:rsid w:val="0075480E"/>
    <w:rsid w:val="00757883"/>
    <w:rsid w:val="00772062"/>
    <w:rsid w:val="00772FE8"/>
    <w:rsid w:val="00780C3A"/>
    <w:rsid w:val="00786AAD"/>
    <w:rsid w:val="007942A7"/>
    <w:rsid w:val="007A0250"/>
    <w:rsid w:val="007A3BB3"/>
    <w:rsid w:val="007A4F4A"/>
    <w:rsid w:val="007A60BE"/>
    <w:rsid w:val="007B0A55"/>
    <w:rsid w:val="007C3F12"/>
    <w:rsid w:val="007C503D"/>
    <w:rsid w:val="007C6BA5"/>
    <w:rsid w:val="007D41D5"/>
    <w:rsid w:val="007D441B"/>
    <w:rsid w:val="007E5096"/>
    <w:rsid w:val="007E560E"/>
    <w:rsid w:val="00801105"/>
    <w:rsid w:val="008079BB"/>
    <w:rsid w:val="00813A21"/>
    <w:rsid w:val="00821C37"/>
    <w:rsid w:val="00825840"/>
    <w:rsid w:val="00827591"/>
    <w:rsid w:val="00831834"/>
    <w:rsid w:val="00835EA4"/>
    <w:rsid w:val="00846B32"/>
    <w:rsid w:val="0085569A"/>
    <w:rsid w:val="0085731D"/>
    <w:rsid w:val="00860C55"/>
    <w:rsid w:val="00860CB3"/>
    <w:rsid w:val="00861B46"/>
    <w:rsid w:val="008707B5"/>
    <w:rsid w:val="00871E17"/>
    <w:rsid w:val="008752CC"/>
    <w:rsid w:val="00880A6F"/>
    <w:rsid w:val="00880AFA"/>
    <w:rsid w:val="00891E0F"/>
    <w:rsid w:val="00895659"/>
    <w:rsid w:val="008A4AAF"/>
    <w:rsid w:val="008B7CA7"/>
    <w:rsid w:val="008C1A73"/>
    <w:rsid w:val="008D113C"/>
    <w:rsid w:val="008D376F"/>
    <w:rsid w:val="008D576A"/>
    <w:rsid w:val="008E068D"/>
    <w:rsid w:val="008E3E64"/>
    <w:rsid w:val="008F6A92"/>
    <w:rsid w:val="00902C37"/>
    <w:rsid w:val="00902D13"/>
    <w:rsid w:val="009119E7"/>
    <w:rsid w:val="0091316C"/>
    <w:rsid w:val="00917BB1"/>
    <w:rsid w:val="00940F00"/>
    <w:rsid w:val="00955C34"/>
    <w:rsid w:val="00956BCA"/>
    <w:rsid w:val="009600E1"/>
    <w:rsid w:val="00970E95"/>
    <w:rsid w:val="00975D21"/>
    <w:rsid w:val="00976AB4"/>
    <w:rsid w:val="00980531"/>
    <w:rsid w:val="00982ACD"/>
    <w:rsid w:val="0098350F"/>
    <w:rsid w:val="009949A9"/>
    <w:rsid w:val="00994F1B"/>
    <w:rsid w:val="00996B18"/>
    <w:rsid w:val="009A240D"/>
    <w:rsid w:val="009A4CDD"/>
    <w:rsid w:val="009C0714"/>
    <w:rsid w:val="009C4A74"/>
    <w:rsid w:val="009D4B62"/>
    <w:rsid w:val="009D6066"/>
    <w:rsid w:val="00A207DE"/>
    <w:rsid w:val="00A364D3"/>
    <w:rsid w:val="00A40D78"/>
    <w:rsid w:val="00A5297A"/>
    <w:rsid w:val="00A5514F"/>
    <w:rsid w:val="00A60E11"/>
    <w:rsid w:val="00A646FB"/>
    <w:rsid w:val="00A674B7"/>
    <w:rsid w:val="00A7485C"/>
    <w:rsid w:val="00A8534D"/>
    <w:rsid w:val="00A90303"/>
    <w:rsid w:val="00A90602"/>
    <w:rsid w:val="00A9349C"/>
    <w:rsid w:val="00AA6AD0"/>
    <w:rsid w:val="00AC413C"/>
    <w:rsid w:val="00AC717E"/>
    <w:rsid w:val="00AD3609"/>
    <w:rsid w:val="00AE068C"/>
    <w:rsid w:val="00AF5CE9"/>
    <w:rsid w:val="00B072C2"/>
    <w:rsid w:val="00B13635"/>
    <w:rsid w:val="00B16845"/>
    <w:rsid w:val="00B22E9B"/>
    <w:rsid w:val="00B26DB1"/>
    <w:rsid w:val="00B46E48"/>
    <w:rsid w:val="00B54CF4"/>
    <w:rsid w:val="00B55530"/>
    <w:rsid w:val="00B62E69"/>
    <w:rsid w:val="00B64C4E"/>
    <w:rsid w:val="00B70320"/>
    <w:rsid w:val="00B72D06"/>
    <w:rsid w:val="00B74452"/>
    <w:rsid w:val="00B83213"/>
    <w:rsid w:val="00B834F2"/>
    <w:rsid w:val="00B86112"/>
    <w:rsid w:val="00B94591"/>
    <w:rsid w:val="00BB1100"/>
    <w:rsid w:val="00BB3A7F"/>
    <w:rsid w:val="00BC65D9"/>
    <w:rsid w:val="00BD0042"/>
    <w:rsid w:val="00BD112B"/>
    <w:rsid w:val="00BD1157"/>
    <w:rsid w:val="00BD3CBD"/>
    <w:rsid w:val="00BE4F55"/>
    <w:rsid w:val="00BF48D2"/>
    <w:rsid w:val="00BF49BE"/>
    <w:rsid w:val="00C01F87"/>
    <w:rsid w:val="00C030BE"/>
    <w:rsid w:val="00C033EC"/>
    <w:rsid w:val="00C05124"/>
    <w:rsid w:val="00C3338E"/>
    <w:rsid w:val="00C33BF3"/>
    <w:rsid w:val="00C36D30"/>
    <w:rsid w:val="00C413DE"/>
    <w:rsid w:val="00C452D5"/>
    <w:rsid w:val="00C464AC"/>
    <w:rsid w:val="00C55E42"/>
    <w:rsid w:val="00C569B9"/>
    <w:rsid w:val="00C719BE"/>
    <w:rsid w:val="00C736BF"/>
    <w:rsid w:val="00C8353A"/>
    <w:rsid w:val="00C953C8"/>
    <w:rsid w:val="00CA50DF"/>
    <w:rsid w:val="00CA51C5"/>
    <w:rsid w:val="00CC525C"/>
    <w:rsid w:val="00CD6AC0"/>
    <w:rsid w:val="00CF3DD7"/>
    <w:rsid w:val="00CF5996"/>
    <w:rsid w:val="00CF7EFB"/>
    <w:rsid w:val="00D00AF5"/>
    <w:rsid w:val="00D047E0"/>
    <w:rsid w:val="00D13DE8"/>
    <w:rsid w:val="00D218F4"/>
    <w:rsid w:val="00D27020"/>
    <w:rsid w:val="00D35448"/>
    <w:rsid w:val="00D35611"/>
    <w:rsid w:val="00D56D6A"/>
    <w:rsid w:val="00D56FE4"/>
    <w:rsid w:val="00D63DB4"/>
    <w:rsid w:val="00D66F2E"/>
    <w:rsid w:val="00D8109F"/>
    <w:rsid w:val="00D86883"/>
    <w:rsid w:val="00D936D1"/>
    <w:rsid w:val="00DA6756"/>
    <w:rsid w:val="00DB3C38"/>
    <w:rsid w:val="00DC17E8"/>
    <w:rsid w:val="00DD1456"/>
    <w:rsid w:val="00DD1621"/>
    <w:rsid w:val="00DF0877"/>
    <w:rsid w:val="00DF4944"/>
    <w:rsid w:val="00E11A56"/>
    <w:rsid w:val="00E138A3"/>
    <w:rsid w:val="00E14585"/>
    <w:rsid w:val="00E318ED"/>
    <w:rsid w:val="00E355EA"/>
    <w:rsid w:val="00E40671"/>
    <w:rsid w:val="00E543C6"/>
    <w:rsid w:val="00E649DA"/>
    <w:rsid w:val="00E67C75"/>
    <w:rsid w:val="00E92D7C"/>
    <w:rsid w:val="00EB312C"/>
    <w:rsid w:val="00EB597E"/>
    <w:rsid w:val="00EC3E93"/>
    <w:rsid w:val="00EC6A73"/>
    <w:rsid w:val="00ED3A8B"/>
    <w:rsid w:val="00ED7511"/>
    <w:rsid w:val="00EE0A46"/>
    <w:rsid w:val="00EF2D69"/>
    <w:rsid w:val="00EF6C38"/>
    <w:rsid w:val="00F04819"/>
    <w:rsid w:val="00F07048"/>
    <w:rsid w:val="00F20D12"/>
    <w:rsid w:val="00F228C0"/>
    <w:rsid w:val="00F264A5"/>
    <w:rsid w:val="00F32B45"/>
    <w:rsid w:val="00F4180B"/>
    <w:rsid w:val="00F5714E"/>
    <w:rsid w:val="00F64D8C"/>
    <w:rsid w:val="00F72274"/>
    <w:rsid w:val="00F94BC8"/>
    <w:rsid w:val="00FA2019"/>
    <w:rsid w:val="00FA56E8"/>
    <w:rsid w:val="00FB4DAD"/>
    <w:rsid w:val="00FC790A"/>
    <w:rsid w:val="00FD03C7"/>
    <w:rsid w:val="00FE663B"/>
    <w:rsid w:val="00FE7324"/>
    <w:rsid w:val="00FF1E34"/>
    <w:rsid w:val="00FF5D5A"/>
    <w:rsid w:val="016D624B"/>
    <w:rsid w:val="01841676"/>
    <w:rsid w:val="0187DECF"/>
    <w:rsid w:val="025F0C54"/>
    <w:rsid w:val="026B0567"/>
    <w:rsid w:val="027A43CA"/>
    <w:rsid w:val="02D4D19B"/>
    <w:rsid w:val="03061417"/>
    <w:rsid w:val="032DCAF7"/>
    <w:rsid w:val="03664C08"/>
    <w:rsid w:val="03932937"/>
    <w:rsid w:val="0434CA67"/>
    <w:rsid w:val="045DACDB"/>
    <w:rsid w:val="045F2CE1"/>
    <w:rsid w:val="04A085B9"/>
    <w:rsid w:val="04EA44D7"/>
    <w:rsid w:val="0545DFC3"/>
    <w:rsid w:val="054951D5"/>
    <w:rsid w:val="057ED455"/>
    <w:rsid w:val="05FE5FF0"/>
    <w:rsid w:val="064C5A75"/>
    <w:rsid w:val="0685C72C"/>
    <w:rsid w:val="068693AB"/>
    <w:rsid w:val="06C3A649"/>
    <w:rsid w:val="0738292D"/>
    <w:rsid w:val="07385D41"/>
    <w:rsid w:val="0751859E"/>
    <w:rsid w:val="0757D327"/>
    <w:rsid w:val="077B7CB8"/>
    <w:rsid w:val="07A4D837"/>
    <w:rsid w:val="088E2B7E"/>
    <w:rsid w:val="08AE2E81"/>
    <w:rsid w:val="0928AC80"/>
    <w:rsid w:val="095E4DF2"/>
    <w:rsid w:val="09BE346D"/>
    <w:rsid w:val="09F06662"/>
    <w:rsid w:val="0A9CB260"/>
    <w:rsid w:val="0AEB4CB7"/>
    <w:rsid w:val="0AF0B160"/>
    <w:rsid w:val="0AF3F77E"/>
    <w:rsid w:val="0B011CCA"/>
    <w:rsid w:val="0B52DE31"/>
    <w:rsid w:val="0B695A87"/>
    <w:rsid w:val="0B807512"/>
    <w:rsid w:val="0C08D5C1"/>
    <w:rsid w:val="0C31648A"/>
    <w:rsid w:val="0C4698CA"/>
    <w:rsid w:val="0D47D805"/>
    <w:rsid w:val="0D73B392"/>
    <w:rsid w:val="0DC588EA"/>
    <w:rsid w:val="0DD568EE"/>
    <w:rsid w:val="0DEF9EED"/>
    <w:rsid w:val="0DF3C723"/>
    <w:rsid w:val="0E00AC51"/>
    <w:rsid w:val="0E46FC1C"/>
    <w:rsid w:val="0E6A9AF8"/>
    <w:rsid w:val="0E9B61B8"/>
    <w:rsid w:val="0E9D35CC"/>
    <w:rsid w:val="0EB5C4C6"/>
    <w:rsid w:val="0EF7CE90"/>
    <w:rsid w:val="0F0A3CA7"/>
    <w:rsid w:val="0F0BB95D"/>
    <w:rsid w:val="0F34C0EF"/>
    <w:rsid w:val="0F8772D3"/>
    <w:rsid w:val="0FDFFAFF"/>
    <w:rsid w:val="0FE56FCA"/>
    <w:rsid w:val="1003A8BC"/>
    <w:rsid w:val="1049EE15"/>
    <w:rsid w:val="1053C7FD"/>
    <w:rsid w:val="10726A0B"/>
    <w:rsid w:val="10D1D455"/>
    <w:rsid w:val="111A09ED"/>
    <w:rsid w:val="1121E73D"/>
    <w:rsid w:val="11B97495"/>
    <w:rsid w:val="12435A1F"/>
    <w:rsid w:val="124BA6EE"/>
    <w:rsid w:val="124E1E9E"/>
    <w:rsid w:val="125F133C"/>
    <w:rsid w:val="12EC7EBE"/>
    <w:rsid w:val="12FE2B3C"/>
    <w:rsid w:val="1302D9A6"/>
    <w:rsid w:val="1349D58D"/>
    <w:rsid w:val="135EFE7E"/>
    <w:rsid w:val="13693AFB"/>
    <w:rsid w:val="13BF46E9"/>
    <w:rsid w:val="13FCD992"/>
    <w:rsid w:val="1441D09C"/>
    <w:rsid w:val="144F0702"/>
    <w:rsid w:val="1466218D"/>
    <w:rsid w:val="14849861"/>
    <w:rsid w:val="14E59491"/>
    <w:rsid w:val="14E8EED3"/>
    <w:rsid w:val="14F18672"/>
    <w:rsid w:val="152677B1"/>
    <w:rsid w:val="155893E4"/>
    <w:rsid w:val="15E6CF5D"/>
    <w:rsid w:val="1631BCA5"/>
    <w:rsid w:val="1640FA76"/>
    <w:rsid w:val="167993FD"/>
    <w:rsid w:val="1679BA8A"/>
    <w:rsid w:val="16F75D11"/>
    <w:rsid w:val="170A303B"/>
    <w:rsid w:val="1723B40A"/>
    <w:rsid w:val="17363ACB"/>
    <w:rsid w:val="17B7783F"/>
    <w:rsid w:val="17C9E9F2"/>
    <w:rsid w:val="17F459A3"/>
    <w:rsid w:val="17FEAC2F"/>
    <w:rsid w:val="18274C47"/>
    <w:rsid w:val="1833FD84"/>
    <w:rsid w:val="184ED42D"/>
    <w:rsid w:val="1878EFFC"/>
    <w:rsid w:val="194BE066"/>
    <w:rsid w:val="19593F75"/>
    <w:rsid w:val="196CF1AE"/>
    <w:rsid w:val="198D68A0"/>
    <w:rsid w:val="199BD58C"/>
    <w:rsid w:val="19A3C5C7"/>
    <w:rsid w:val="19D120D5"/>
    <w:rsid w:val="19F0EEE8"/>
    <w:rsid w:val="1A080478"/>
    <w:rsid w:val="1A29FE18"/>
    <w:rsid w:val="1A2E4852"/>
    <w:rsid w:val="1A32AFF3"/>
    <w:rsid w:val="1A453C0E"/>
    <w:rsid w:val="1A657500"/>
    <w:rsid w:val="1A7C7FFB"/>
    <w:rsid w:val="1ABE4886"/>
    <w:rsid w:val="1AC668F8"/>
    <w:rsid w:val="1ADE781D"/>
    <w:rsid w:val="1AFF3244"/>
    <w:rsid w:val="1B052DC8"/>
    <w:rsid w:val="1B3C0676"/>
    <w:rsid w:val="1C4644B0"/>
    <w:rsid w:val="1C47B79D"/>
    <w:rsid w:val="1CFC8CC4"/>
    <w:rsid w:val="1D37C9CB"/>
    <w:rsid w:val="1D3D6721"/>
    <w:rsid w:val="1D96C7BB"/>
    <w:rsid w:val="1D9CB93A"/>
    <w:rsid w:val="1DB6E7BA"/>
    <w:rsid w:val="1DCE0FEE"/>
    <w:rsid w:val="1E0D03D3"/>
    <w:rsid w:val="1E0F2EF8"/>
    <w:rsid w:val="1E39B147"/>
    <w:rsid w:val="1E771FCB"/>
    <w:rsid w:val="1EA89B17"/>
    <w:rsid w:val="1EE6BE45"/>
    <w:rsid w:val="1EE885C8"/>
    <w:rsid w:val="1F42CDE5"/>
    <w:rsid w:val="1F493555"/>
    <w:rsid w:val="1F4F55F0"/>
    <w:rsid w:val="1F855E5D"/>
    <w:rsid w:val="1FB838D8"/>
    <w:rsid w:val="1FF55940"/>
    <w:rsid w:val="200B722E"/>
    <w:rsid w:val="200BD29A"/>
    <w:rsid w:val="2047D4E4"/>
    <w:rsid w:val="2047E92F"/>
    <w:rsid w:val="20929C53"/>
    <w:rsid w:val="20CC58CE"/>
    <w:rsid w:val="21865217"/>
    <w:rsid w:val="21884A36"/>
    <w:rsid w:val="21A75F9A"/>
    <w:rsid w:val="21B9D054"/>
    <w:rsid w:val="221BD432"/>
    <w:rsid w:val="223C78DD"/>
    <w:rsid w:val="224E55B4"/>
    <w:rsid w:val="227B8495"/>
    <w:rsid w:val="22914C40"/>
    <w:rsid w:val="22CA2D31"/>
    <w:rsid w:val="22DDF97D"/>
    <w:rsid w:val="22E074F6"/>
    <w:rsid w:val="233509DF"/>
    <w:rsid w:val="23595ACE"/>
    <w:rsid w:val="23A1117D"/>
    <w:rsid w:val="23BC3F98"/>
    <w:rsid w:val="23DAE9E7"/>
    <w:rsid w:val="23E90896"/>
    <w:rsid w:val="2459840D"/>
    <w:rsid w:val="246FBBFF"/>
    <w:rsid w:val="24B54BFE"/>
    <w:rsid w:val="2562B78D"/>
    <w:rsid w:val="25756793"/>
    <w:rsid w:val="2583FD3F"/>
    <w:rsid w:val="25927012"/>
    <w:rsid w:val="25B0F902"/>
    <w:rsid w:val="25D7E9AE"/>
    <w:rsid w:val="25DB3914"/>
    <w:rsid w:val="260FBA45"/>
    <w:rsid w:val="267A932F"/>
    <w:rsid w:val="26C3E136"/>
    <w:rsid w:val="26E2D0D9"/>
    <w:rsid w:val="26E8B6AC"/>
    <w:rsid w:val="27036ACE"/>
    <w:rsid w:val="2763A7F0"/>
    <w:rsid w:val="27A439A3"/>
    <w:rsid w:val="27BBD39F"/>
    <w:rsid w:val="27FE3C51"/>
    <w:rsid w:val="287A33C6"/>
    <w:rsid w:val="2882F65A"/>
    <w:rsid w:val="2884870D"/>
    <w:rsid w:val="289868E7"/>
    <w:rsid w:val="28A86871"/>
    <w:rsid w:val="28AB37C3"/>
    <w:rsid w:val="28AF2E7F"/>
    <w:rsid w:val="28CC2E56"/>
    <w:rsid w:val="28DAEA9B"/>
    <w:rsid w:val="29779075"/>
    <w:rsid w:val="29A2B6C7"/>
    <w:rsid w:val="29B0EFE1"/>
    <w:rsid w:val="29B872E0"/>
    <w:rsid w:val="29ED4222"/>
    <w:rsid w:val="29F548DA"/>
    <w:rsid w:val="2A24EAF5"/>
    <w:rsid w:val="2A5D42F5"/>
    <w:rsid w:val="2A6C7D54"/>
    <w:rsid w:val="2A829469"/>
    <w:rsid w:val="2AF37461"/>
    <w:rsid w:val="2B2AE936"/>
    <w:rsid w:val="2B4E0452"/>
    <w:rsid w:val="2BBC27CF"/>
    <w:rsid w:val="2BF568D8"/>
    <w:rsid w:val="2C77133B"/>
    <w:rsid w:val="2C8F44C2"/>
    <w:rsid w:val="2CB66328"/>
    <w:rsid w:val="2CF990E1"/>
    <w:rsid w:val="2D1D751E"/>
    <w:rsid w:val="2DB776AD"/>
    <w:rsid w:val="2DBC81C3"/>
    <w:rsid w:val="2DBC8464"/>
    <w:rsid w:val="2DBF3DC6"/>
    <w:rsid w:val="2DD4560B"/>
    <w:rsid w:val="2E15C21F"/>
    <w:rsid w:val="2EAA9E1F"/>
    <w:rsid w:val="2EDFBFB9"/>
    <w:rsid w:val="2F052C7E"/>
    <w:rsid w:val="2F069718"/>
    <w:rsid w:val="2F07AA6B"/>
    <w:rsid w:val="2F1775EC"/>
    <w:rsid w:val="2F617600"/>
    <w:rsid w:val="2FBE62EB"/>
    <w:rsid w:val="30523ED6"/>
    <w:rsid w:val="308A526F"/>
    <w:rsid w:val="30A37ACC"/>
    <w:rsid w:val="30AE1CC2"/>
    <w:rsid w:val="30B006A4"/>
    <w:rsid w:val="30B768AD"/>
    <w:rsid w:val="30BE35C5"/>
    <w:rsid w:val="30D56B75"/>
    <w:rsid w:val="31512AA4"/>
    <w:rsid w:val="319F7301"/>
    <w:rsid w:val="31B15C6A"/>
    <w:rsid w:val="31FC3F34"/>
    <w:rsid w:val="3208BA26"/>
    <w:rsid w:val="322622D0"/>
    <w:rsid w:val="32D61DC4"/>
    <w:rsid w:val="331A35CE"/>
    <w:rsid w:val="332E50FD"/>
    <w:rsid w:val="3336B2F3"/>
    <w:rsid w:val="3394F77F"/>
    <w:rsid w:val="339B0599"/>
    <w:rsid w:val="33D35E7B"/>
    <w:rsid w:val="33DDC2AB"/>
    <w:rsid w:val="33E69F81"/>
    <w:rsid w:val="345A2A9D"/>
    <w:rsid w:val="34632BD0"/>
    <w:rsid w:val="349A56A7"/>
    <w:rsid w:val="34A5D17B"/>
    <w:rsid w:val="34B2DC69"/>
    <w:rsid w:val="34EFA7B6"/>
    <w:rsid w:val="35289062"/>
    <w:rsid w:val="3533FD7F"/>
    <w:rsid w:val="3555E92C"/>
    <w:rsid w:val="355BF257"/>
    <w:rsid w:val="35D3A71C"/>
    <w:rsid w:val="360FB6C4"/>
    <w:rsid w:val="36362708"/>
    <w:rsid w:val="363E850F"/>
    <w:rsid w:val="3674CDF0"/>
    <w:rsid w:val="3684C3A6"/>
    <w:rsid w:val="36A2F2EE"/>
    <w:rsid w:val="3737E019"/>
    <w:rsid w:val="37EA331C"/>
    <w:rsid w:val="37F29D69"/>
    <w:rsid w:val="381F5331"/>
    <w:rsid w:val="38567869"/>
    <w:rsid w:val="385D50BB"/>
    <w:rsid w:val="38851379"/>
    <w:rsid w:val="38BA10A4"/>
    <w:rsid w:val="393433C8"/>
    <w:rsid w:val="39382100"/>
    <w:rsid w:val="3956F874"/>
    <w:rsid w:val="3993C995"/>
    <w:rsid w:val="399FF43E"/>
    <w:rsid w:val="3A59F9AF"/>
    <w:rsid w:val="3A6262C7"/>
    <w:rsid w:val="3A69B726"/>
    <w:rsid w:val="3A81F6C6"/>
    <w:rsid w:val="3A8DF240"/>
    <w:rsid w:val="3AC85264"/>
    <w:rsid w:val="3AFC90C1"/>
    <w:rsid w:val="3BA3A5FE"/>
    <w:rsid w:val="3BA5A0D0"/>
    <w:rsid w:val="3BE51A23"/>
    <w:rsid w:val="3C179B02"/>
    <w:rsid w:val="3C380267"/>
    <w:rsid w:val="3CB43820"/>
    <w:rsid w:val="3CB9A353"/>
    <w:rsid w:val="3CE89E64"/>
    <w:rsid w:val="3D30C1DE"/>
    <w:rsid w:val="3D95E5CB"/>
    <w:rsid w:val="3DC09248"/>
    <w:rsid w:val="3DDA9313"/>
    <w:rsid w:val="3DF3B8B9"/>
    <w:rsid w:val="3E4FDCB1"/>
    <w:rsid w:val="3E5B1C58"/>
    <w:rsid w:val="3E94DC76"/>
    <w:rsid w:val="3EBAE0B6"/>
    <w:rsid w:val="3ED56BEF"/>
    <w:rsid w:val="3F1BD383"/>
    <w:rsid w:val="3F5406C5"/>
    <w:rsid w:val="3F5E3C35"/>
    <w:rsid w:val="3FDDC5B7"/>
    <w:rsid w:val="3FE3258C"/>
    <w:rsid w:val="4030AF65"/>
    <w:rsid w:val="403764AB"/>
    <w:rsid w:val="40DF8122"/>
    <w:rsid w:val="410FE73D"/>
    <w:rsid w:val="411233D5"/>
    <w:rsid w:val="411872C4"/>
    <w:rsid w:val="4138ADA5"/>
    <w:rsid w:val="4139ABE2"/>
    <w:rsid w:val="4187AD60"/>
    <w:rsid w:val="4214230E"/>
    <w:rsid w:val="4215B5D9"/>
    <w:rsid w:val="423AD29D"/>
    <w:rsid w:val="4266E8CF"/>
    <w:rsid w:val="4279050C"/>
    <w:rsid w:val="4294A893"/>
    <w:rsid w:val="43036F39"/>
    <w:rsid w:val="43184605"/>
    <w:rsid w:val="432B6105"/>
    <w:rsid w:val="439236CA"/>
    <w:rsid w:val="43A7B4E2"/>
    <w:rsid w:val="43C50B24"/>
    <w:rsid w:val="43E61897"/>
    <w:rsid w:val="44011FFB"/>
    <w:rsid w:val="44443581"/>
    <w:rsid w:val="4449D738"/>
    <w:rsid w:val="44DF8DEC"/>
    <w:rsid w:val="44E4B4C3"/>
    <w:rsid w:val="44F52513"/>
    <w:rsid w:val="4538D3D3"/>
    <w:rsid w:val="4565FDAE"/>
    <w:rsid w:val="457291AC"/>
    <w:rsid w:val="4589E4D3"/>
    <w:rsid w:val="45C98D3D"/>
    <w:rsid w:val="45D2EE5B"/>
    <w:rsid w:val="46166E59"/>
    <w:rsid w:val="465AA692"/>
    <w:rsid w:val="4668EB64"/>
    <w:rsid w:val="467532C9"/>
    <w:rsid w:val="46D4A434"/>
    <w:rsid w:val="46F9462D"/>
    <w:rsid w:val="4700CF0C"/>
    <w:rsid w:val="47532D3A"/>
    <w:rsid w:val="4756B01F"/>
    <w:rsid w:val="476C1E8A"/>
    <w:rsid w:val="47A4BFE8"/>
    <w:rsid w:val="47B515C4"/>
    <w:rsid w:val="47D22924"/>
    <w:rsid w:val="48278A89"/>
    <w:rsid w:val="484559C8"/>
    <w:rsid w:val="489C9F6D"/>
    <w:rsid w:val="48C2B5C9"/>
    <w:rsid w:val="48C882C9"/>
    <w:rsid w:val="48CF9CF6"/>
    <w:rsid w:val="48FBCEB6"/>
    <w:rsid w:val="494279F0"/>
    <w:rsid w:val="4993485C"/>
    <w:rsid w:val="49A106D9"/>
    <w:rsid w:val="49B32131"/>
    <w:rsid w:val="4A2B2D7F"/>
    <w:rsid w:val="4A3E22F1"/>
    <w:rsid w:val="4A4EBCA1"/>
    <w:rsid w:val="4A6A00FE"/>
    <w:rsid w:val="4A8ACDFC"/>
    <w:rsid w:val="4A8E50E1"/>
    <w:rsid w:val="4AB47EBD"/>
    <w:rsid w:val="4AF0F12C"/>
    <w:rsid w:val="4B39D6E8"/>
    <w:rsid w:val="4B3A081F"/>
    <w:rsid w:val="4B4EF192"/>
    <w:rsid w:val="4B8034F1"/>
    <w:rsid w:val="4B8E05FD"/>
    <w:rsid w:val="4B99F1B8"/>
    <w:rsid w:val="4BD494A0"/>
    <w:rsid w:val="4C04BFCB"/>
    <w:rsid w:val="4C4EC5DD"/>
    <w:rsid w:val="4C74734E"/>
    <w:rsid w:val="4D6B66AC"/>
    <w:rsid w:val="4D86E6C7"/>
    <w:rsid w:val="4DA60276"/>
    <w:rsid w:val="4DB0D89F"/>
    <w:rsid w:val="4E87DC4D"/>
    <w:rsid w:val="4E962260"/>
    <w:rsid w:val="4EF2B894"/>
    <w:rsid w:val="4F3745C4"/>
    <w:rsid w:val="4FF56438"/>
    <w:rsid w:val="50515F62"/>
    <w:rsid w:val="50536822"/>
    <w:rsid w:val="508B131C"/>
    <w:rsid w:val="50D9C689"/>
    <w:rsid w:val="50F50FC5"/>
    <w:rsid w:val="51283C91"/>
    <w:rsid w:val="51352785"/>
    <w:rsid w:val="516E8EC8"/>
    <w:rsid w:val="51C0F154"/>
    <w:rsid w:val="51E0C307"/>
    <w:rsid w:val="52050F28"/>
    <w:rsid w:val="521816CD"/>
    <w:rsid w:val="5290E026"/>
    <w:rsid w:val="52B2B4E6"/>
    <w:rsid w:val="52B3EE47"/>
    <w:rsid w:val="52C40CF2"/>
    <w:rsid w:val="52CFABFF"/>
    <w:rsid w:val="52F4F161"/>
    <w:rsid w:val="5311CA60"/>
    <w:rsid w:val="53583A9B"/>
    <w:rsid w:val="5371D96A"/>
    <w:rsid w:val="5380EC9F"/>
    <w:rsid w:val="53917D3A"/>
    <w:rsid w:val="53F52476"/>
    <w:rsid w:val="5490C1C2"/>
    <w:rsid w:val="549F5809"/>
    <w:rsid w:val="54B6585A"/>
    <w:rsid w:val="54C7C208"/>
    <w:rsid w:val="55572703"/>
    <w:rsid w:val="558A3B99"/>
    <w:rsid w:val="55A097D0"/>
    <w:rsid w:val="55A138D1"/>
    <w:rsid w:val="55A4D4C6"/>
    <w:rsid w:val="55B00C82"/>
    <w:rsid w:val="55D45AE6"/>
    <w:rsid w:val="55D891C9"/>
    <w:rsid w:val="55DAC566"/>
    <w:rsid w:val="55E18AE6"/>
    <w:rsid w:val="562384DA"/>
    <w:rsid w:val="566F39D9"/>
    <w:rsid w:val="56AEC54C"/>
    <w:rsid w:val="56ECCB09"/>
    <w:rsid w:val="56F182C8"/>
    <w:rsid w:val="56FCDD28"/>
    <w:rsid w:val="575C0095"/>
    <w:rsid w:val="579BDDD7"/>
    <w:rsid w:val="57ADC56D"/>
    <w:rsid w:val="57C86284"/>
    <w:rsid w:val="583DB352"/>
    <w:rsid w:val="58C79EBC"/>
    <w:rsid w:val="58EC60D8"/>
    <w:rsid w:val="58F606EC"/>
    <w:rsid w:val="59015EB8"/>
    <w:rsid w:val="590E907E"/>
    <w:rsid w:val="591DB345"/>
    <w:rsid w:val="59797B80"/>
    <w:rsid w:val="599C599E"/>
    <w:rsid w:val="59ACEB35"/>
    <w:rsid w:val="59D30AC0"/>
    <w:rsid w:val="59DCCCB4"/>
    <w:rsid w:val="5A0358A4"/>
    <w:rsid w:val="5A10E2C6"/>
    <w:rsid w:val="5A1542ED"/>
    <w:rsid w:val="5A56D58F"/>
    <w:rsid w:val="5A636F1D"/>
    <w:rsid w:val="5AB09F71"/>
    <w:rsid w:val="5AB95496"/>
    <w:rsid w:val="5B0DBF16"/>
    <w:rsid w:val="5B6EDB21"/>
    <w:rsid w:val="5BCB1C67"/>
    <w:rsid w:val="5BE0376D"/>
    <w:rsid w:val="5BE9525A"/>
    <w:rsid w:val="5BF619AC"/>
    <w:rsid w:val="5BFC2612"/>
    <w:rsid w:val="5C37550C"/>
    <w:rsid w:val="5C3DADA3"/>
    <w:rsid w:val="5C43FE5A"/>
    <w:rsid w:val="5CB82495"/>
    <w:rsid w:val="5CD56587"/>
    <w:rsid w:val="5D07A510"/>
    <w:rsid w:val="5DC8EB48"/>
    <w:rsid w:val="5DEC5683"/>
    <w:rsid w:val="5DFFEE3F"/>
    <w:rsid w:val="5E5FE19F"/>
    <w:rsid w:val="5E6F651F"/>
    <w:rsid w:val="5E891071"/>
    <w:rsid w:val="5EB6B003"/>
    <w:rsid w:val="5EBABF5C"/>
    <w:rsid w:val="5EC1EEEA"/>
    <w:rsid w:val="5ED7F7C9"/>
    <w:rsid w:val="5EDA1679"/>
    <w:rsid w:val="5EFF6582"/>
    <w:rsid w:val="5F0C8EFF"/>
    <w:rsid w:val="5F2EF2BA"/>
    <w:rsid w:val="5F6D10AF"/>
    <w:rsid w:val="5FA2418F"/>
    <w:rsid w:val="5FB96D2A"/>
    <w:rsid w:val="60004019"/>
    <w:rsid w:val="6001942C"/>
    <w:rsid w:val="604758DE"/>
    <w:rsid w:val="60B3A890"/>
    <w:rsid w:val="60B48FAD"/>
    <w:rsid w:val="60DCFF34"/>
    <w:rsid w:val="60FCFFD9"/>
    <w:rsid w:val="6130D367"/>
    <w:rsid w:val="61A2A6D3"/>
    <w:rsid w:val="61ACFACD"/>
    <w:rsid w:val="6230F4CB"/>
    <w:rsid w:val="62554301"/>
    <w:rsid w:val="627DAA1F"/>
    <w:rsid w:val="62B0E9B4"/>
    <w:rsid w:val="62B5BF68"/>
    <w:rsid w:val="62D86A82"/>
    <w:rsid w:val="630A40A6"/>
    <w:rsid w:val="63229D6B"/>
    <w:rsid w:val="632A1387"/>
    <w:rsid w:val="63344013"/>
    <w:rsid w:val="63360507"/>
    <w:rsid w:val="6337BFBB"/>
    <w:rsid w:val="6345049E"/>
    <w:rsid w:val="634B164A"/>
    <w:rsid w:val="635A566F"/>
    <w:rsid w:val="63630064"/>
    <w:rsid w:val="637D94E6"/>
    <w:rsid w:val="63947651"/>
    <w:rsid w:val="639BD44D"/>
    <w:rsid w:val="63C1B00B"/>
    <w:rsid w:val="642B52B9"/>
    <w:rsid w:val="6438FE89"/>
    <w:rsid w:val="65089E34"/>
    <w:rsid w:val="653E9757"/>
    <w:rsid w:val="656A5FD2"/>
    <w:rsid w:val="656DFF66"/>
    <w:rsid w:val="65B7FA34"/>
    <w:rsid w:val="66149B30"/>
    <w:rsid w:val="665D02E3"/>
    <w:rsid w:val="66678A60"/>
    <w:rsid w:val="666AF384"/>
    <w:rsid w:val="66786B3C"/>
    <w:rsid w:val="66D0570B"/>
    <w:rsid w:val="66D1122D"/>
    <w:rsid w:val="6779D67D"/>
    <w:rsid w:val="677A106C"/>
    <w:rsid w:val="67880B0F"/>
    <w:rsid w:val="67C615FC"/>
    <w:rsid w:val="67D2638B"/>
    <w:rsid w:val="684DB6D4"/>
    <w:rsid w:val="6861152D"/>
    <w:rsid w:val="6886ABAA"/>
    <w:rsid w:val="68977F0E"/>
    <w:rsid w:val="68A50A2C"/>
    <w:rsid w:val="68BBD965"/>
    <w:rsid w:val="68CCD99F"/>
    <w:rsid w:val="68F6E966"/>
    <w:rsid w:val="692116E4"/>
    <w:rsid w:val="69451C22"/>
    <w:rsid w:val="69454580"/>
    <w:rsid w:val="697936EC"/>
    <w:rsid w:val="6994BB84"/>
    <w:rsid w:val="6A171559"/>
    <w:rsid w:val="6A1ED00E"/>
    <w:rsid w:val="6A2AE37B"/>
    <w:rsid w:val="6A6E127F"/>
    <w:rsid w:val="6A731DFD"/>
    <w:rsid w:val="6A8B94A2"/>
    <w:rsid w:val="6ADB8CAE"/>
    <w:rsid w:val="6AFDD195"/>
    <w:rsid w:val="6B35256C"/>
    <w:rsid w:val="6B43C000"/>
    <w:rsid w:val="6B4E6B1C"/>
    <w:rsid w:val="6B56282F"/>
    <w:rsid w:val="6B6D55DA"/>
    <w:rsid w:val="6B6F5EDE"/>
    <w:rsid w:val="6BB2E35C"/>
    <w:rsid w:val="6BDC9E6F"/>
    <w:rsid w:val="6BDF936B"/>
    <w:rsid w:val="6CEC7DDE"/>
    <w:rsid w:val="6D298761"/>
    <w:rsid w:val="6D360097"/>
    <w:rsid w:val="6D4AD7C4"/>
    <w:rsid w:val="6D9FA868"/>
    <w:rsid w:val="6DBFC485"/>
    <w:rsid w:val="6E8C0DB4"/>
    <w:rsid w:val="6EAB2704"/>
    <w:rsid w:val="6FF38369"/>
    <w:rsid w:val="6FF7B223"/>
    <w:rsid w:val="70484784"/>
    <w:rsid w:val="70AC8A0F"/>
    <w:rsid w:val="70CBF68C"/>
    <w:rsid w:val="70D4B1FE"/>
    <w:rsid w:val="70E3982C"/>
    <w:rsid w:val="71089636"/>
    <w:rsid w:val="71370A36"/>
    <w:rsid w:val="7160BEA2"/>
    <w:rsid w:val="71742DA7"/>
    <w:rsid w:val="71A43E79"/>
    <w:rsid w:val="71AB2E03"/>
    <w:rsid w:val="71EE7274"/>
    <w:rsid w:val="71EF1F83"/>
    <w:rsid w:val="71F3F1F6"/>
    <w:rsid w:val="725EF410"/>
    <w:rsid w:val="72CB6B10"/>
    <w:rsid w:val="730E2F7C"/>
    <w:rsid w:val="733D4C53"/>
    <w:rsid w:val="7353E45B"/>
    <w:rsid w:val="73B96F99"/>
    <w:rsid w:val="73B9B862"/>
    <w:rsid w:val="73D037B4"/>
    <w:rsid w:val="7412C7A4"/>
    <w:rsid w:val="745FE57C"/>
    <w:rsid w:val="74C39505"/>
    <w:rsid w:val="750F037F"/>
    <w:rsid w:val="750F17B9"/>
    <w:rsid w:val="752EE9D3"/>
    <w:rsid w:val="7534CFBF"/>
    <w:rsid w:val="754D510D"/>
    <w:rsid w:val="754FA4AC"/>
    <w:rsid w:val="7550F53C"/>
    <w:rsid w:val="75C0AF60"/>
    <w:rsid w:val="75E75BAD"/>
    <w:rsid w:val="765F6566"/>
    <w:rsid w:val="767FC599"/>
    <w:rsid w:val="7685CEFF"/>
    <w:rsid w:val="772A47C2"/>
    <w:rsid w:val="772D6251"/>
    <w:rsid w:val="776800E4"/>
    <w:rsid w:val="776D37B9"/>
    <w:rsid w:val="7788B89B"/>
    <w:rsid w:val="77AA3CC2"/>
    <w:rsid w:val="77BF36B5"/>
    <w:rsid w:val="7813A874"/>
    <w:rsid w:val="787209EA"/>
    <w:rsid w:val="7888E624"/>
    <w:rsid w:val="78A6B9FB"/>
    <w:rsid w:val="7943AD2A"/>
    <w:rsid w:val="79460D23"/>
    <w:rsid w:val="796A4258"/>
    <w:rsid w:val="79E1F570"/>
    <w:rsid w:val="79E35193"/>
    <w:rsid w:val="79F32417"/>
    <w:rsid w:val="7A24665F"/>
    <w:rsid w:val="7A6583C3"/>
    <w:rsid w:val="7A730295"/>
    <w:rsid w:val="7AE96772"/>
    <w:rsid w:val="7AEB0C19"/>
    <w:rsid w:val="7B0A18B7"/>
    <w:rsid w:val="7B59E190"/>
    <w:rsid w:val="7B6BD01E"/>
    <w:rsid w:val="7BC036C0"/>
    <w:rsid w:val="7BFFF335"/>
    <w:rsid w:val="7C258A60"/>
    <w:rsid w:val="7C5F7281"/>
    <w:rsid w:val="7C60D7B3"/>
    <w:rsid w:val="7CB753D4"/>
    <w:rsid w:val="7CC8633C"/>
    <w:rsid w:val="7CE4A9E0"/>
    <w:rsid w:val="7CEF071D"/>
    <w:rsid w:val="7D11B287"/>
    <w:rsid w:val="7D310947"/>
    <w:rsid w:val="7D945204"/>
    <w:rsid w:val="7DA1960E"/>
    <w:rsid w:val="7DD3689D"/>
    <w:rsid w:val="7E19EF06"/>
    <w:rsid w:val="7E64339D"/>
    <w:rsid w:val="7EAAB068"/>
    <w:rsid w:val="7EBCA3BC"/>
    <w:rsid w:val="7EFC849B"/>
    <w:rsid w:val="7EFEDBC7"/>
    <w:rsid w:val="7F199418"/>
    <w:rsid w:val="7F3CBF1D"/>
    <w:rsid w:val="7F428E2B"/>
    <w:rsid w:val="7F62A16B"/>
    <w:rsid w:val="7FA89BC4"/>
    <w:rsid w:val="7FBF000A"/>
    <w:rsid w:val="7FC108A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8EFAC"/>
  <w15:chartTrackingRefBased/>
  <w15:docId w15:val="{63CF3840-093A-4F5E-A846-57FDFDF02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EA4"/>
    <w:pPr>
      <w:spacing w:after="240" w:line="360" w:lineRule="auto"/>
    </w:pPr>
    <w:rPr>
      <w:rFonts w:eastAsiaTheme="minorEastAsia"/>
    </w:rPr>
  </w:style>
  <w:style w:type="paragraph" w:styleId="Heading1">
    <w:name w:val="heading 1"/>
    <w:basedOn w:val="Normal"/>
    <w:next w:val="Normal"/>
    <w:link w:val="Heading1Char"/>
    <w:uiPriority w:val="9"/>
    <w:qFormat/>
    <w:rsid w:val="00532F3F"/>
    <w:pPr>
      <w:keepNext/>
      <w:keepLines/>
      <w:spacing w:line="276"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532F3F"/>
    <w:pPr>
      <w:keepNext/>
      <w:keepLines/>
      <w:spacing w:line="276"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532F3F"/>
    <w:pPr>
      <w:keepNext/>
      <w:keepLines/>
      <w:spacing w:line="276"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532F3F"/>
    <w:pPr>
      <w:keepNext/>
      <w:keepLines/>
      <w:spacing w:line="276"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532F3F"/>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532F3F"/>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532F3F"/>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532F3F"/>
    <w:rPr>
      <w:rFonts w:asciiTheme="majorHAnsi" w:eastAsiaTheme="majorEastAsia" w:hAnsiTheme="majorHAnsi" w:cstheme="majorBidi"/>
      <w:b/>
      <w:iCs/>
    </w:rPr>
  </w:style>
  <w:style w:type="paragraph" w:customStyle="1" w:styleId="BodyText1">
    <w:name w:val="Body Text1"/>
    <w:basedOn w:val="Normal"/>
    <w:qFormat/>
    <w:rsid w:val="005D4862"/>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Title">
    <w:name w:val="Title"/>
    <w:basedOn w:val="Normal"/>
    <w:next w:val="Normal"/>
    <w:link w:val="TitleChar"/>
    <w:uiPriority w:val="10"/>
    <w:qFormat/>
    <w:rsid w:val="005D4862"/>
    <w:pPr>
      <w:spacing w:line="276" w:lineRule="auto"/>
      <w:contextualSpacing/>
    </w:pPr>
    <w:rPr>
      <w:rFonts w:ascii="Arial" w:eastAsiaTheme="majorEastAsia" w:hAnsi="Arial" w:cstheme="majorBidi"/>
      <w:spacing w:val="-10"/>
      <w:kern w:val="28"/>
      <w:sz w:val="84"/>
      <w:szCs w:val="56"/>
    </w:rPr>
  </w:style>
  <w:style w:type="character" w:customStyle="1" w:styleId="TitleChar">
    <w:name w:val="Title Char"/>
    <w:basedOn w:val="DefaultParagraphFont"/>
    <w:link w:val="Title"/>
    <w:uiPriority w:val="10"/>
    <w:rsid w:val="005D4862"/>
    <w:rPr>
      <w:rFonts w:ascii="Arial" w:eastAsiaTheme="majorEastAsia" w:hAnsi="Arial" w:cstheme="majorBidi"/>
      <w:spacing w:val="-10"/>
      <w:kern w:val="28"/>
      <w:sz w:val="84"/>
      <w:szCs w:val="56"/>
    </w:rPr>
  </w:style>
  <w:style w:type="paragraph" w:styleId="ListParagraph">
    <w:name w:val="List Paragraph"/>
    <w:basedOn w:val="Normal"/>
    <w:uiPriority w:val="34"/>
    <w:qFormat/>
    <w:rsid w:val="002E0A05"/>
    <w:pPr>
      <w:spacing w:line="240" w:lineRule="auto"/>
      <w:ind w:left="720"/>
    </w:pPr>
    <w:rPr>
      <w:rFonts w:ascii="Calibri" w:eastAsiaTheme="minorHAnsi" w:hAnsi="Calibri" w:cs="Calibri"/>
      <w:sz w:val="22"/>
      <w:szCs w:val="22"/>
    </w:rPr>
  </w:style>
  <w:style w:type="paragraph" w:styleId="NormalWeb">
    <w:name w:val="Normal (Web)"/>
    <w:basedOn w:val="Normal"/>
    <w:uiPriority w:val="99"/>
    <w:semiHidden/>
    <w:unhideWhenUsed/>
    <w:rsid w:val="007C503D"/>
    <w:pPr>
      <w:spacing w:before="100" w:beforeAutospacing="1" w:after="100" w:afterAutospacing="1" w:line="240" w:lineRule="auto"/>
    </w:pPr>
    <w:rPr>
      <w:rFonts w:ascii="Times New Roman" w:eastAsia="Times New Roman" w:hAnsi="Times New Roman" w:cs="Times New Roman"/>
      <w:lang w:eastAsia="en-GB"/>
    </w:rPr>
  </w:style>
  <w:style w:type="paragraph" w:styleId="TOCHeading">
    <w:name w:val="TOC Heading"/>
    <w:basedOn w:val="Heading1"/>
    <w:next w:val="Normal"/>
    <w:uiPriority w:val="39"/>
    <w:unhideWhenUsed/>
    <w:qFormat/>
    <w:rsid w:val="00891E0F"/>
    <w:pPr>
      <w:spacing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891E0F"/>
    <w:pPr>
      <w:spacing w:after="100"/>
    </w:pPr>
  </w:style>
  <w:style w:type="paragraph" w:styleId="TOC2">
    <w:name w:val="toc 2"/>
    <w:basedOn w:val="Normal"/>
    <w:next w:val="Normal"/>
    <w:autoRedefine/>
    <w:uiPriority w:val="39"/>
    <w:unhideWhenUsed/>
    <w:rsid w:val="00891E0F"/>
    <w:pPr>
      <w:spacing w:after="100"/>
      <w:ind w:left="240"/>
    </w:pPr>
  </w:style>
  <w:style w:type="paragraph" w:styleId="TOC3">
    <w:name w:val="toc 3"/>
    <w:basedOn w:val="Normal"/>
    <w:next w:val="Normal"/>
    <w:autoRedefine/>
    <w:uiPriority w:val="39"/>
    <w:unhideWhenUsed/>
    <w:rsid w:val="00891E0F"/>
    <w:pPr>
      <w:spacing w:after="100"/>
      <w:ind w:left="480"/>
    </w:p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eastAsiaTheme="minorEastAsia"/>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B369B"/>
    <w:rPr>
      <w:b/>
      <w:bCs/>
    </w:rPr>
  </w:style>
  <w:style w:type="character" w:customStyle="1" w:styleId="CommentSubjectChar">
    <w:name w:val="Comment Subject Char"/>
    <w:basedOn w:val="CommentTextChar"/>
    <w:link w:val="CommentSubject"/>
    <w:uiPriority w:val="99"/>
    <w:semiHidden/>
    <w:rsid w:val="003B369B"/>
    <w:rPr>
      <w:rFonts w:eastAsiaTheme="minorEastAsia"/>
      <w:b/>
      <w:bCs/>
      <w:sz w:val="20"/>
      <w:szCs w:val="20"/>
    </w:rPr>
  </w:style>
  <w:style w:type="table" w:styleId="TableGrid">
    <w:name w:val="Table Grid"/>
    <w:basedOn w:val="TableNormal"/>
    <w:uiPriority w:val="59"/>
    <w:rsid w:val="00FB4123"/>
    <w:tblPr>
      <w:tblBorders>
        <w:top w:val="single" w:sz="4" w:space="0" w:color="3C4741" w:themeColor="text1"/>
        <w:left w:val="single" w:sz="4" w:space="0" w:color="3C4741" w:themeColor="text1"/>
        <w:bottom w:val="single" w:sz="4" w:space="0" w:color="3C4741" w:themeColor="text1"/>
        <w:right w:val="single" w:sz="4" w:space="0" w:color="3C4741" w:themeColor="text1"/>
        <w:insideH w:val="single" w:sz="4" w:space="0" w:color="3C4741" w:themeColor="text1"/>
        <w:insideV w:val="single" w:sz="4" w:space="0" w:color="3C4741" w:themeColor="text1"/>
      </w:tblBorders>
    </w:tblPr>
  </w:style>
  <w:style w:type="character" w:customStyle="1" w:styleId="normaltextrun">
    <w:name w:val="normaltextrun"/>
    <w:basedOn w:val="DefaultParagraphFont"/>
    <w:rsid w:val="005955D9"/>
  </w:style>
  <w:style w:type="character" w:styleId="FollowedHyperlink">
    <w:name w:val="FollowedHyperlink"/>
    <w:basedOn w:val="DefaultParagraphFont"/>
    <w:uiPriority w:val="99"/>
    <w:semiHidden/>
    <w:unhideWhenUsed/>
    <w:rsid w:val="00940F00"/>
    <w:rPr>
      <w:color w:val="016574" w:themeColor="followedHyperlink"/>
      <w:u w:val="single"/>
    </w:rPr>
  </w:style>
  <w:style w:type="paragraph" w:styleId="Caption">
    <w:name w:val="caption"/>
    <w:basedOn w:val="Normal"/>
    <w:next w:val="Normal"/>
    <w:uiPriority w:val="35"/>
    <w:unhideWhenUsed/>
    <w:qFormat/>
    <w:rsid w:val="00297A90"/>
    <w:pPr>
      <w:spacing w:after="200" w:line="240" w:lineRule="auto"/>
    </w:pPr>
    <w:rPr>
      <w:i/>
      <w:iCs/>
      <w:color w:val="6E757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460792">
      <w:bodyDiv w:val="1"/>
      <w:marLeft w:val="0"/>
      <w:marRight w:val="0"/>
      <w:marTop w:val="0"/>
      <w:marBottom w:val="0"/>
      <w:divBdr>
        <w:top w:val="none" w:sz="0" w:space="0" w:color="auto"/>
        <w:left w:val="none" w:sz="0" w:space="0" w:color="auto"/>
        <w:bottom w:val="none" w:sz="0" w:space="0" w:color="auto"/>
        <w:right w:val="none" w:sz="0" w:space="0" w:color="auto"/>
      </w:divBdr>
    </w:div>
    <w:div w:id="1312100366">
      <w:bodyDiv w:val="1"/>
      <w:marLeft w:val="0"/>
      <w:marRight w:val="0"/>
      <w:marTop w:val="0"/>
      <w:marBottom w:val="0"/>
      <w:divBdr>
        <w:top w:val="none" w:sz="0" w:space="0" w:color="auto"/>
        <w:left w:val="none" w:sz="0" w:space="0" w:color="auto"/>
        <w:bottom w:val="none" w:sz="0" w:space="0" w:color="auto"/>
        <w:right w:val="none" w:sz="0" w:space="0" w:color="auto"/>
      </w:divBdr>
    </w:div>
    <w:div w:id="1747066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formatics.sepa.org.uk/AMRmonitoring/" TargetMode="External"/><Relationship Id="rId18" Type="http://schemas.openxmlformats.org/officeDocument/2006/relationships/header" Target="header1.xm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contactscotland-bsl.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equalities@sepa.org.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hbp.org/"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8" Type="http://schemas.openxmlformats.org/officeDocument/2006/relationships/hyperlink" Target="https://www.gov.scot/publications/antimicrobial-resistance-information/" TargetMode="External"/><Relationship Id="rId13" Type="http://schemas.openxmlformats.org/officeDocument/2006/relationships/hyperlink" Target="https://assets.publishing.service.gov.uk/government/uploads/system/uploads/attachment_data/file/1118310/ESPAUR-report-2021-to-2022.pdf" TargetMode="External"/><Relationship Id="rId18" Type="http://schemas.openxmlformats.org/officeDocument/2006/relationships/hyperlink" Target="https://www.crew.ac.uk/publication/review-wastewater-monitoring-applications-public-health-and-novel-aspects-environmental" TargetMode="External"/><Relationship Id="rId3" Type="http://schemas.openxmlformats.org/officeDocument/2006/relationships/hyperlink" Target="https://www.thelancet.com/journals/lancet/article/PIIS0140-6736(21)02724-0/fulltext" TargetMode="External"/><Relationship Id="rId21" Type="http://schemas.openxmlformats.org/officeDocument/2006/relationships/hyperlink" Target="https://health.ec.europa.eu/publications/council-recommendation-stepping-eu-actions-combat-antimicrobial-resistance-one-health-approach_en" TargetMode="External"/><Relationship Id="rId7" Type="http://schemas.openxmlformats.org/officeDocument/2006/relationships/hyperlink" Target="https://www.frontiersin.org/articles/10.3389/fmicb.2016.01728/full" TargetMode="External"/><Relationship Id="rId12" Type="http://schemas.openxmlformats.org/officeDocument/2006/relationships/hyperlink" Target="https://www.ecdc.europa.eu/sites/default/files/documents/AER-EARS-Net-2021_2022-final.pdf" TargetMode="External"/><Relationship Id="rId17" Type="http://schemas.openxmlformats.org/officeDocument/2006/relationships/hyperlink" Target="https://ukwir.org/the-national-chemical-investigations-programme-2020-2022-volume-1-investigations-into-changes-to-antimicrobial-resistance-through-wastewater-and-sludge-treatment-processes-0?Email_Campaign_Mail=2131608" TargetMode="External"/><Relationship Id="rId2" Type="http://schemas.openxmlformats.org/officeDocument/2006/relationships/hyperlink" Target="https://amr-review.org/sites/default/files/AMR%20Review%20Paper%20-%20Tackling%20a%20crisis%20for%20the%20health%20and%20wealth%20of%20nations_1.pdf" TargetMode="External"/><Relationship Id="rId16" Type="http://schemas.openxmlformats.org/officeDocument/2006/relationships/hyperlink" Target="https://chemicalinvestigations.ukwir.org/sign-up-and-access-the-chemical-investigations-programme-data-access-portal" TargetMode="External"/><Relationship Id="rId20" Type="http://schemas.openxmlformats.org/officeDocument/2006/relationships/hyperlink" Target="https://www.crew.ac.uk/publication/antimicrobial-resistance-scotland%E2%80%99s-waters-status-and-solutions" TargetMode="External"/><Relationship Id="rId1" Type="http://schemas.openxmlformats.org/officeDocument/2006/relationships/hyperlink" Target="https://www.who.int/news-room/fact-sheets/detail/antimicrobial-resistance" TargetMode="External"/><Relationship Id="rId6" Type="http://schemas.openxmlformats.org/officeDocument/2006/relationships/hyperlink" Target="https://environmentalevidencejournal.biomedcentral.com/articles/10.1186/s13750-022-00262-2" TargetMode="External"/><Relationship Id="rId11" Type="http://schemas.openxmlformats.org/officeDocument/2006/relationships/hyperlink" Target="https://www.nss.nhs.scot/publications/scottish-one-health-antimicrobial-use-and-antimicrobial-resistance-in-2021/" TargetMode="External"/><Relationship Id="rId5" Type="http://schemas.openxmlformats.org/officeDocument/2006/relationships/hyperlink" Target="https://www.unep.org/resources/superbugs/environmental-action" TargetMode="External"/><Relationship Id="rId15" Type="http://schemas.openxmlformats.org/officeDocument/2006/relationships/hyperlink" Target="https://www.crew.ac.uk/publication/pharmaceuticals-water-environment-baseline-assessment-and-recommendations-0" TargetMode="External"/><Relationship Id="rId23" Type="http://schemas.openxmlformats.org/officeDocument/2006/relationships/hyperlink" Target="https://www.eurosurveillance.org/content/10.2807/1560-7917.ES.2023.28.11.2200367" TargetMode="External"/><Relationship Id="rId10" Type="http://schemas.openxmlformats.org/officeDocument/2006/relationships/hyperlink" Target="https://www.nss.nhs.scot/media/3394/sonaar-2021-report.pdf" TargetMode="External"/><Relationship Id="rId19" Type="http://schemas.openxmlformats.org/officeDocument/2006/relationships/hyperlink" Target="https://www.crew.ac.uk/publication/scottish-one-health-amr-register-sohar" TargetMode="External"/><Relationship Id="rId4" Type="http://schemas.openxmlformats.org/officeDocument/2006/relationships/hyperlink" Target="https://www.nature.com/articles/s41564-023-01351-9" TargetMode="External"/><Relationship Id="rId9" Type="http://schemas.openxmlformats.org/officeDocument/2006/relationships/hyperlink" Target="https://www.gov.uk/government/publications/uk-5-year-action-plan-for-antimicrobial-resistance-2019-to-2024" TargetMode="External"/><Relationship Id="rId14" Type="http://schemas.openxmlformats.org/officeDocument/2006/relationships/hyperlink" Target="https://ohbp.org/" TargetMode="External"/><Relationship Id="rId22" Type="http://schemas.openxmlformats.org/officeDocument/2006/relationships/hyperlink" Target="https://environment.ec.europa.eu/system/files/2022-10/Proposal%20for%20a%20Directive%20concerning%20urban%20wastewater%20treatment%20%28recast%29.pdf"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21C83784422864DA3A8DFDABA8D1988" ma:contentTypeVersion="14" ma:contentTypeDescription="Create a new document." ma:contentTypeScope="" ma:versionID="ad34b0534ecc9d3c8c0611553edd2ab3">
  <xsd:schema xmlns:xsd="http://www.w3.org/2001/XMLSchema" xmlns:xs="http://www.w3.org/2001/XMLSchema" xmlns:p="http://schemas.microsoft.com/office/2006/metadata/properties" xmlns:ns2="e02bd00c-3059-42c9-b813-f4fee2671bfc" xmlns:ns3="d1db0558-f140-4f90-8466-c94a41a190da" xmlns:ns4="6817a18b-ca13-4b62-8bc4-ed31bbcf9b80" targetNamespace="http://schemas.microsoft.com/office/2006/metadata/properties" ma:root="true" ma:fieldsID="9bb9e3c7598ebb6f7a12d23953661cca" ns2:_="" ns3:_="" ns4:_="">
    <xsd:import namespace="e02bd00c-3059-42c9-b813-f4fee2671bfc"/>
    <xsd:import namespace="d1db0558-f140-4f90-8466-c94a41a190da"/>
    <xsd:import namespace="6817a18b-ca13-4b62-8bc4-ed31bbcf9b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2bd00c-3059-42c9-b813-f4fee2671b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db0558-f140-4f90-8466-c94a41a190d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7a18b-ca13-4b62-8bc4-ed31bbcf9b8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df40e38-0a02-4697-954f-30ac4e724fbf}" ma:internalName="TaxCatchAll" ma:showField="CatchAllData" ma:web="d1db0558-f140-4f90-8466-c94a41a190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02bd00c-3059-42c9-b813-f4fee2671bfc">
      <Terms xmlns="http://schemas.microsoft.com/office/infopath/2007/PartnerControls"/>
    </lcf76f155ced4ddcb4097134ff3c332f>
    <TaxCatchAll xmlns="6817a18b-ca13-4b62-8bc4-ed31bbcf9b80" xsi:nil="true"/>
    <SharedWithUsers xmlns="d1db0558-f140-4f90-8466-c94a41a190da">
      <UserInfo>
        <DisplayName>Hunter, Jon</DisplayName>
        <AccountId>268</AccountId>
        <AccountType/>
      </UserInfo>
      <UserInfo>
        <DisplayName>Redshaw, John</DisplayName>
        <AccountId>72</AccountId>
        <AccountType/>
      </UserInfo>
    </SharedWithUsers>
  </documentManagement>
</p:properties>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2.xml><?xml version="1.0" encoding="utf-8"?>
<ds:datastoreItem xmlns:ds="http://schemas.openxmlformats.org/officeDocument/2006/customXml" ds:itemID="{F2A3007A-AC88-4FAB-99C6-8E3F6CFDDA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2bd00c-3059-42c9-b813-f4fee2671bfc"/>
    <ds:schemaRef ds:uri="d1db0558-f140-4f90-8466-c94a41a190da"/>
    <ds:schemaRef ds:uri="6817a18b-ca13-4b62-8bc4-ed31bbcf9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277BF4-0404-4A62-B874-3FF2E57703FD}">
  <ds:schemaRefs>
    <ds:schemaRef ds:uri="http://schemas.microsoft.com/sharepoint/v3/contenttype/forms"/>
  </ds:schemaRefs>
</ds:datastoreItem>
</file>

<file path=customXml/itemProps4.xml><?xml version="1.0" encoding="utf-8"?>
<ds:datastoreItem xmlns:ds="http://schemas.openxmlformats.org/officeDocument/2006/customXml" ds:itemID="{43CCEE87-6E9D-4224-8B53-CF425A2AEB81}">
  <ds:schemaRefs>
    <ds:schemaRef ds:uri="http://schemas.microsoft.com/office/2006/metadata/properties"/>
    <ds:schemaRef ds:uri="http://schemas.microsoft.com/office/infopath/2007/PartnerControls"/>
    <ds:schemaRef ds:uri="e02bd00c-3059-42c9-b813-f4fee2671bfc"/>
    <ds:schemaRef ds:uri="6817a18b-ca13-4b62-8bc4-ed31bbcf9b80"/>
    <ds:schemaRef ds:uri="d1db0558-f140-4f90-8466-c94a41a190da"/>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11</Pages>
  <Words>2277</Words>
  <Characters>12983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Lee</dc:creator>
  <cp:keywords>Scottish Environment Protection Agency</cp:keywords>
  <dc:description/>
  <cp:lastModifiedBy>Caron, Natasha</cp:lastModifiedBy>
  <cp:revision>3</cp:revision>
  <cp:lastPrinted>2023-03-24T04:44:00Z</cp:lastPrinted>
  <dcterms:created xsi:type="dcterms:W3CDTF">2023-09-21T16:17:00Z</dcterms:created>
  <dcterms:modified xsi:type="dcterms:W3CDTF">2023-09-21T16:17:00Z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0x010100521C83784422864DA3A8DFDABA8D1988</vt:lpwstr>
  </property>
  <property fmtid="{D5CDD505-2E9C-101B-9397-08002B2CF9AE}" pid="3" name="MediaServiceImageTags">
    <vt:lpwstr/>
  </property>
  <property fmtid="{D5CDD505-2E9C-101B-9397-08002B2CF9AE}" pid="4" name="ClassificationContentMarkingHeaderShapeIds">
    <vt:lpwstr>45eff36e,95a7f5b,127dcf58</vt:lpwstr>
  </property>
  <property fmtid="{D5CDD505-2E9C-101B-9397-08002B2CF9AE}" pid="5" name="ClassificationContentMarkingHeaderFontProps">
    <vt:lpwstr>#000000,10,Calibri</vt:lpwstr>
  </property>
  <property fmtid="{D5CDD505-2E9C-101B-9397-08002B2CF9AE}" pid="6" name="ClassificationContentMarkingHeaderText">
    <vt:lpwstr>PUBLIC</vt:lpwstr>
  </property>
  <property fmtid="{D5CDD505-2E9C-101B-9397-08002B2CF9AE}" pid="7" name="ClassificationContentMarkingFooterShapeIds">
    <vt:lpwstr>4701d645,32790470,5f33b636</vt:lpwstr>
  </property>
  <property fmtid="{D5CDD505-2E9C-101B-9397-08002B2CF9AE}" pid="8" name="ClassificationContentMarkingFooterFontProps">
    <vt:lpwstr>#000000,10,Calibri</vt:lpwstr>
  </property>
  <property fmtid="{D5CDD505-2E9C-101B-9397-08002B2CF9AE}" pid="9" name="ClassificationContentMarkingFooterText">
    <vt:lpwstr>PUBLIC</vt:lpwstr>
  </property>
  <property fmtid="{D5CDD505-2E9C-101B-9397-08002B2CF9AE}" pid="10" name="MSIP_Label_020c9faf-63bf-4a31-9cd9-de783d5c392c_Enabled">
    <vt:lpwstr>true</vt:lpwstr>
  </property>
  <property fmtid="{D5CDD505-2E9C-101B-9397-08002B2CF9AE}" pid="11" name="MSIP_Label_020c9faf-63bf-4a31-9cd9-de783d5c392c_SetDate">
    <vt:lpwstr>2023-09-20T11:25:38Z</vt:lpwstr>
  </property>
  <property fmtid="{D5CDD505-2E9C-101B-9397-08002B2CF9AE}" pid="12" name="MSIP_Label_020c9faf-63bf-4a31-9cd9-de783d5c392c_Method">
    <vt:lpwstr>Privileged</vt:lpwstr>
  </property>
  <property fmtid="{D5CDD505-2E9C-101B-9397-08002B2CF9AE}" pid="13" name="MSIP_Label_020c9faf-63bf-4a31-9cd9-de783d5c392c_Name">
    <vt:lpwstr>PUBLIC</vt:lpwstr>
  </property>
  <property fmtid="{D5CDD505-2E9C-101B-9397-08002B2CF9AE}" pid="14" name="MSIP_Label_020c9faf-63bf-4a31-9cd9-de783d5c392c_SiteId">
    <vt:lpwstr>5cf26d65-cf46-4c72-ba82-7577d9c2d7ab</vt:lpwstr>
  </property>
  <property fmtid="{D5CDD505-2E9C-101B-9397-08002B2CF9AE}" pid="15" name="MSIP_Label_020c9faf-63bf-4a31-9cd9-de783d5c392c_ActionId">
    <vt:lpwstr>f88d775b-ec2c-4855-a41b-ca219aa33315</vt:lpwstr>
  </property>
  <property fmtid="{D5CDD505-2E9C-101B-9397-08002B2CF9AE}" pid="16" name="MSIP_Label_020c9faf-63bf-4a31-9cd9-de783d5c392c_ContentBits">
    <vt:lpwstr>3</vt:lpwstr>
  </property>
</Properties>
</file>