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78862604"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0DF61B91" w14:textId="77777777" w:rsidR="004073BC" w:rsidRDefault="00F72274" w:rsidP="00587EA6">
          <w:pPr>
            <w:pStyle w:val="Heading1"/>
          </w:pPr>
          <w:r>
            <w:rPr>
              <w:noProof/>
            </w:rPr>
            <w:drawing>
              <wp:anchor distT="0" distB="0" distL="114300" distR="114300" simplePos="0" relativeHeight="251658241" behindDoc="1" locked="0" layoutInCell="1" allowOverlap="1" wp14:anchorId="167C3F5A" wp14:editId="37971F4F">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3B98FBB5" wp14:editId="76FD18B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358C3D3A" w14:textId="77777777" w:rsidR="004073BC" w:rsidRDefault="004073BC" w:rsidP="008C1A73"/>
        <w:p w14:paraId="6015B2B5" w14:textId="77777777" w:rsidR="004073BC" w:rsidRDefault="004073BC" w:rsidP="008C1A73"/>
        <w:p w14:paraId="3B75C563" w14:textId="77777777" w:rsidR="004073BC" w:rsidRDefault="004073BC" w:rsidP="008C1A73"/>
        <w:p w14:paraId="30223591" w14:textId="77777777" w:rsidR="004073BC" w:rsidRDefault="004073BC" w:rsidP="008C1A73"/>
        <w:p w14:paraId="2B6DC3E9" w14:textId="77777777" w:rsidR="004073BC" w:rsidRDefault="004073BC" w:rsidP="008C1A73"/>
        <w:p w14:paraId="2D017905" w14:textId="77777777" w:rsidR="00281BB1" w:rsidRDefault="00281BB1" w:rsidP="00281BB1">
          <w:pPr>
            <w:rPr>
              <w:b/>
              <w:bCs/>
              <w:color w:val="FFFFFF" w:themeColor="background1"/>
              <w:sz w:val="84"/>
              <w:szCs w:val="84"/>
            </w:rPr>
          </w:pPr>
        </w:p>
        <w:p w14:paraId="2C8C7136" w14:textId="0D88AFA6" w:rsidR="00801105" w:rsidRDefault="00C51F35" w:rsidP="004133B7">
          <w:pPr>
            <w:spacing w:line="240" w:lineRule="auto"/>
            <w:rPr>
              <w:b/>
              <w:bCs/>
              <w:color w:val="FFFFFF" w:themeColor="background1"/>
              <w:sz w:val="84"/>
              <w:szCs w:val="84"/>
            </w:rPr>
          </w:pPr>
          <w:r>
            <w:rPr>
              <w:b/>
              <w:bCs/>
              <w:color w:val="FFFFFF" w:themeColor="background1"/>
              <w:sz w:val="84"/>
              <w:szCs w:val="84"/>
            </w:rPr>
            <w:t>WAT-RM-07</w:t>
          </w:r>
          <w:r w:rsidR="00281BB1">
            <w:rPr>
              <w:noProof/>
            </w:rPr>
            <mc:AlternateContent>
              <mc:Choice Requires="wps">
                <w:drawing>
                  <wp:anchor distT="0" distB="0" distL="114300" distR="114300" simplePos="0" relativeHeight="251658240" behindDoc="0" locked="1" layoutInCell="1" allowOverlap="1" wp14:anchorId="66A9BC4E" wp14:editId="18A9F38D">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00B1DA8D" w14:textId="1468E630" w:rsidR="00281BB1" w:rsidRPr="009A240D" w:rsidRDefault="00C51F35" w:rsidP="00281BB1">
                                <w:pPr>
                                  <w:pStyle w:val="BodyText1"/>
                                  <w:rPr>
                                    <w:color w:val="FFFFFF" w:themeColor="background1"/>
                                  </w:rPr>
                                </w:pPr>
                                <w:r>
                                  <w:rPr>
                                    <w:color w:val="FFFFFF" w:themeColor="background1"/>
                                  </w:rPr>
                                  <w:t>December</w:t>
                                </w:r>
                                <w:r w:rsidR="00DE4BA7">
                                  <w:rPr>
                                    <w:color w:val="FFFFFF" w:themeColor="background1"/>
                                  </w:rPr>
                                  <w:t xml:space="preserve"> 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9BC4E"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00B1DA8D" w14:textId="1468E630" w:rsidR="00281BB1" w:rsidRPr="009A240D" w:rsidRDefault="00C51F35" w:rsidP="00281BB1">
                          <w:pPr>
                            <w:pStyle w:val="BodyText1"/>
                            <w:rPr>
                              <w:color w:val="FFFFFF" w:themeColor="background1"/>
                            </w:rPr>
                          </w:pPr>
                          <w:r>
                            <w:rPr>
                              <w:color w:val="FFFFFF" w:themeColor="background1"/>
                            </w:rPr>
                            <w:t>December</w:t>
                          </w:r>
                          <w:r w:rsidR="00DE4BA7">
                            <w:rPr>
                              <w:color w:val="FFFFFF" w:themeColor="background1"/>
                            </w:rPr>
                            <w:t xml:space="preserve"> 2024</w:t>
                          </w:r>
                        </w:p>
                      </w:txbxContent>
                    </v:textbox>
                    <w10:anchorlock/>
                  </v:shape>
                </w:pict>
              </mc:Fallback>
            </mc:AlternateContent>
          </w:r>
          <w:r>
            <w:rPr>
              <w:b/>
              <w:bCs/>
              <w:color w:val="FFFFFF" w:themeColor="background1"/>
              <w:sz w:val="84"/>
              <w:szCs w:val="84"/>
            </w:rPr>
            <w:t xml:space="preserve"> </w:t>
          </w:r>
          <w:r w:rsidR="000B32FB">
            <w:rPr>
              <w:b/>
              <w:bCs/>
              <w:color w:val="FFFFFF" w:themeColor="background1"/>
              <w:sz w:val="84"/>
              <w:szCs w:val="84"/>
            </w:rPr>
            <w:t>Sewer Overflow</w:t>
          </w:r>
          <w:r w:rsidR="00E77E18">
            <w:rPr>
              <w:b/>
              <w:bCs/>
              <w:color w:val="FFFFFF" w:themeColor="background1"/>
              <w:sz w:val="84"/>
              <w:szCs w:val="84"/>
            </w:rPr>
            <w:t>s</w:t>
          </w:r>
          <w:r w:rsidR="000B32FB">
            <w:rPr>
              <w:b/>
              <w:bCs/>
              <w:color w:val="FFFFFF" w:themeColor="background1"/>
              <w:sz w:val="84"/>
              <w:szCs w:val="84"/>
            </w:rPr>
            <w:t xml:space="preserve"> </w:t>
          </w:r>
          <w:r w:rsidR="00DE4BA7">
            <w:rPr>
              <w:b/>
              <w:bCs/>
              <w:color w:val="FFFFFF" w:themeColor="background1"/>
              <w:sz w:val="84"/>
              <w:szCs w:val="84"/>
            </w:rPr>
            <w:t>v3.2</w:t>
          </w:r>
          <w:r w:rsidR="0066283F">
            <w:rPr>
              <w:b/>
              <w:bCs/>
              <w:color w:val="FFFFFF" w:themeColor="background1"/>
              <w:sz w:val="84"/>
              <w:szCs w:val="84"/>
            </w:rPr>
            <w:t xml:space="preserve"> </w:t>
          </w:r>
        </w:p>
        <w:p w14:paraId="22DFE788" w14:textId="77777777" w:rsidR="008C1A73" w:rsidRPr="00CF7EFB" w:rsidRDefault="008C1A73" w:rsidP="00CF7EFB">
          <w:pPr>
            <w:rPr>
              <w:b/>
              <w:bCs/>
              <w:color w:val="FFFFFF" w:themeColor="background1"/>
              <w:sz w:val="84"/>
              <w:szCs w:val="84"/>
            </w:rPr>
          </w:pPr>
          <w:r>
            <w:br w:type="page"/>
          </w:r>
        </w:p>
      </w:sdtContent>
    </w:sdt>
    <w:p w14:paraId="02C207C1" w14:textId="2E0F389C" w:rsidR="00684F5A" w:rsidRDefault="00BA1580" w:rsidP="004133B7">
      <w:pPr>
        <w:pStyle w:val="Heading1"/>
        <w:rPr>
          <w:rFonts w:eastAsia="Times New Roman"/>
        </w:rPr>
      </w:pPr>
      <w:bookmarkStart w:id="1" w:name="_Toc178862605"/>
      <w:r>
        <w:rPr>
          <w:rFonts w:eastAsia="Times New Roman"/>
        </w:rPr>
        <w:lastRenderedPageBreak/>
        <w:t>Update Summary</w:t>
      </w:r>
      <w:bookmarkEnd w:id="1"/>
    </w:p>
    <w:p w14:paraId="316F7849" w14:textId="0EFEA6A2" w:rsidR="00FE56D3" w:rsidRDefault="00FE56D3" w:rsidP="00FE56D3">
      <w:pPr>
        <w:pStyle w:val="Heading2"/>
      </w:pPr>
      <w:r>
        <w:t>Version 1.0</w:t>
      </w:r>
      <w:r w:rsidRPr="00FE56D3">
        <w:t xml:space="preserve"> </w:t>
      </w:r>
    </w:p>
    <w:p w14:paraId="46B5F8B7" w14:textId="011F864A" w:rsidR="00FE56D3" w:rsidRPr="00887510" w:rsidRDefault="00FE56D3" w:rsidP="00FE56D3">
      <w:pPr>
        <w:pStyle w:val="BodyText1"/>
      </w:pPr>
      <w:r w:rsidRPr="00887510">
        <w:t>First issue for Water Use reference using approved content from the following documents:</w:t>
      </w:r>
    </w:p>
    <w:p w14:paraId="4E135B3F" w14:textId="77777777" w:rsidR="00FE56D3" w:rsidRPr="00887510" w:rsidRDefault="00FE56D3" w:rsidP="00FE56D3">
      <w:pPr>
        <w:pStyle w:val="BodyText1"/>
        <w:numPr>
          <w:ilvl w:val="0"/>
          <w:numId w:val="34"/>
        </w:numPr>
      </w:pPr>
      <w:r w:rsidRPr="00887510">
        <w:t>Intermittent_Sewage_Discharges_HT4.doc</w:t>
      </w:r>
    </w:p>
    <w:p w14:paraId="245B807B" w14:textId="57A066C3" w:rsidR="00FE56D3" w:rsidRDefault="00FE56D3" w:rsidP="00FE56D3">
      <w:pPr>
        <w:pStyle w:val="BodyText1"/>
        <w:numPr>
          <w:ilvl w:val="0"/>
          <w:numId w:val="34"/>
        </w:numPr>
      </w:pPr>
      <w:r w:rsidRPr="00887510">
        <w:t>RM_07_PS_SewerOverflowsV3.doc</w:t>
      </w:r>
    </w:p>
    <w:p w14:paraId="6140F2D4" w14:textId="77777777" w:rsidR="00C94C2D" w:rsidRDefault="00FE56D3" w:rsidP="00FE56D3">
      <w:pPr>
        <w:pStyle w:val="Heading2"/>
      </w:pPr>
      <w:r>
        <w:t>Version 1.</w:t>
      </w:r>
      <w:r w:rsidR="00C94C2D">
        <w:t>1</w:t>
      </w:r>
    </w:p>
    <w:p w14:paraId="635A296F" w14:textId="77777777" w:rsidR="00320B86" w:rsidRDefault="00C94C2D" w:rsidP="00320B86">
      <w:pPr>
        <w:pStyle w:val="BodyText1"/>
        <w:numPr>
          <w:ilvl w:val="0"/>
          <w:numId w:val="35"/>
        </w:numPr>
      </w:pPr>
      <w:r w:rsidRPr="00320B86">
        <w:t>Revisions detailed in WAT-RM-07_PS_Sewer_Overflows_v2.doc</w:t>
      </w:r>
    </w:p>
    <w:p w14:paraId="24D0AB69" w14:textId="77777777" w:rsidR="00320B86" w:rsidRDefault="00C94C2D" w:rsidP="00320B86">
      <w:pPr>
        <w:pStyle w:val="BodyText1"/>
        <w:numPr>
          <w:ilvl w:val="0"/>
          <w:numId w:val="35"/>
        </w:numPr>
      </w:pPr>
      <w:r w:rsidRPr="00320B86">
        <w:t>Doc WAT-SG-01 now deleted, all references removed</w:t>
      </w:r>
    </w:p>
    <w:p w14:paraId="6D7D9696" w14:textId="77777777" w:rsidR="00320B86" w:rsidRDefault="00C94C2D" w:rsidP="00320B86">
      <w:pPr>
        <w:pStyle w:val="BodyText1"/>
        <w:numPr>
          <w:ilvl w:val="0"/>
          <w:numId w:val="35"/>
        </w:numPr>
      </w:pPr>
      <w:r w:rsidRPr="00320B86">
        <w:t>Other doc references updated to include WAT- prefix</w:t>
      </w:r>
    </w:p>
    <w:p w14:paraId="4E8F12FE" w14:textId="38E2BD1B" w:rsidR="00FE56D3" w:rsidRPr="00320B86" w:rsidRDefault="00C94C2D" w:rsidP="00320B86">
      <w:pPr>
        <w:pStyle w:val="BodyText1"/>
        <w:numPr>
          <w:ilvl w:val="0"/>
          <w:numId w:val="35"/>
        </w:numPr>
      </w:pPr>
      <w:r w:rsidRPr="00320B86">
        <w:t>WAT-TEMP-21 reference added</w:t>
      </w:r>
      <w:r w:rsidR="00FE56D3" w:rsidRPr="00320B86">
        <w:t xml:space="preserve"> </w:t>
      </w:r>
    </w:p>
    <w:p w14:paraId="7488D9D2" w14:textId="555917CC" w:rsidR="00320B86" w:rsidRDefault="00320B86" w:rsidP="00320B86">
      <w:pPr>
        <w:pStyle w:val="Heading2"/>
      </w:pPr>
      <w:r>
        <w:t>Version 2.0</w:t>
      </w:r>
    </w:p>
    <w:p w14:paraId="254120AB" w14:textId="08AB25F3" w:rsidR="00FE56D3" w:rsidRDefault="00320B86" w:rsidP="00320B86">
      <w:pPr>
        <w:pStyle w:val="BodyText1"/>
        <w:numPr>
          <w:ilvl w:val="0"/>
          <w:numId w:val="36"/>
        </w:numPr>
      </w:pPr>
      <w:r w:rsidRPr="00887510">
        <w:t>New base template applied, links to docs revised for new SEPA website</w:t>
      </w:r>
      <w:r>
        <w:t>.</w:t>
      </w:r>
    </w:p>
    <w:p w14:paraId="1EE8E23D" w14:textId="459300D6" w:rsidR="00320B86" w:rsidRDefault="00320B86" w:rsidP="00320B86">
      <w:pPr>
        <w:pStyle w:val="Heading2"/>
      </w:pPr>
      <w:r>
        <w:t>Version 3.0</w:t>
      </w:r>
    </w:p>
    <w:p w14:paraId="4793D62E" w14:textId="77777777" w:rsidR="005B7C12" w:rsidRDefault="00320B86" w:rsidP="00320B86">
      <w:pPr>
        <w:pStyle w:val="BodyText1"/>
        <w:numPr>
          <w:ilvl w:val="0"/>
          <w:numId w:val="36"/>
        </w:numPr>
      </w:pPr>
      <w:r w:rsidRPr="00887510">
        <w:t xml:space="preserve">Expired CMS links reviewed and updated. </w:t>
      </w:r>
    </w:p>
    <w:p w14:paraId="09B59727" w14:textId="2504E361" w:rsidR="00320B86" w:rsidRDefault="00320B86" w:rsidP="00320B86">
      <w:pPr>
        <w:pStyle w:val="BodyText1"/>
        <w:numPr>
          <w:ilvl w:val="0"/>
          <w:numId w:val="36"/>
        </w:numPr>
      </w:pPr>
      <w:r w:rsidRPr="00887510">
        <w:t>Formula A revised, Storm Tank/Screening/Flow monitor/Sewer Network Licence info added.</w:t>
      </w:r>
    </w:p>
    <w:p w14:paraId="609BA5D6" w14:textId="582E1D0B" w:rsidR="005B7C12" w:rsidRDefault="005B7C12" w:rsidP="005B7C12">
      <w:pPr>
        <w:pStyle w:val="Heading2"/>
      </w:pPr>
      <w:r>
        <w:t>Version 3.1</w:t>
      </w:r>
    </w:p>
    <w:p w14:paraId="416BD372" w14:textId="61BAA4DE" w:rsidR="005B7C12" w:rsidRDefault="005B7C12" w:rsidP="00320B86">
      <w:pPr>
        <w:pStyle w:val="BodyText1"/>
        <w:numPr>
          <w:ilvl w:val="0"/>
          <w:numId w:val="36"/>
        </w:numPr>
      </w:pPr>
      <w:r w:rsidRPr="00887510">
        <w:t>Fig 3 corrected (Special case options), outfall is dependent activity, modifications and removal of assets added.</w:t>
      </w:r>
    </w:p>
    <w:p w14:paraId="1C4DA72F" w14:textId="3D64308C" w:rsidR="00A73116" w:rsidRDefault="00A73116" w:rsidP="00A73116">
      <w:pPr>
        <w:pStyle w:val="Heading2"/>
      </w:pPr>
      <w:r>
        <w:t>Version 3.2</w:t>
      </w:r>
    </w:p>
    <w:p w14:paraId="748C002F" w14:textId="77777777" w:rsidR="00A73116" w:rsidRPr="00831CA7" w:rsidRDefault="00A73116" w:rsidP="00A73116">
      <w:pPr>
        <w:pStyle w:val="BodyText1"/>
        <w:numPr>
          <w:ilvl w:val="0"/>
          <w:numId w:val="36"/>
        </w:numPr>
      </w:pPr>
      <w:r w:rsidRPr="00831CA7">
        <w:t xml:space="preserve">DWF calculation update. </w:t>
      </w:r>
    </w:p>
    <w:p w14:paraId="39EFF89F" w14:textId="77777777" w:rsidR="00A73116" w:rsidRPr="00831CA7" w:rsidRDefault="00A73116" w:rsidP="00A73116">
      <w:pPr>
        <w:pStyle w:val="BodyText1"/>
        <w:numPr>
          <w:ilvl w:val="0"/>
          <w:numId w:val="36"/>
        </w:numPr>
      </w:pPr>
      <w:r w:rsidRPr="00831CA7">
        <w:lastRenderedPageBreak/>
        <w:t>2 hours storage at Formula ‘A’- FFT added</w:t>
      </w:r>
    </w:p>
    <w:p w14:paraId="4621B4D1" w14:textId="77777777" w:rsidR="00A73116" w:rsidRPr="00831CA7" w:rsidRDefault="00A73116" w:rsidP="00A73116">
      <w:pPr>
        <w:pStyle w:val="BodyText1"/>
        <w:numPr>
          <w:ilvl w:val="0"/>
          <w:numId w:val="36"/>
        </w:numPr>
      </w:pPr>
      <w:r w:rsidRPr="00831CA7">
        <w:t xml:space="preserve">Clarification relating to application of FIS/99%ile standards. </w:t>
      </w:r>
    </w:p>
    <w:p w14:paraId="16229397" w14:textId="77777777" w:rsidR="00A73116" w:rsidRPr="00831CA7" w:rsidRDefault="00A73116" w:rsidP="00A73116">
      <w:pPr>
        <w:pStyle w:val="BodyText1"/>
        <w:numPr>
          <w:ilvl w:val="0"/>
          <w:numId w:val="36"/>
        </w:numPr>
      </w:pPr>
      <w:r w:rsidRPr="00831CA7">
        <w:t>Counting spills method added.</w:t>
      </w:r>
    </w:p>
    <w:p w14:paraId="55183247" w14:textId="4784BD47" w:rsidR="00A73116" w:rsidRPr="00FE56D3" w:rsidRDefault="00A73116" w:rsidP="00A73116">
      <w:pPr>
        <w:pStyle w:val="BodyText1"/>
        <w:numPr>
          <w:ilvl w:val="0"/>
          <w:numId w:val="36"/>
        </w:numPr>
      </w:pPr>
      <w:r w:rsidRPr="00831CA7">
        <w:t>Document has been restructured but technical content maintained.</w:t>
      </w:r>
    </w:p>
    <w:p w14:paraId="0C6971C8" w14:textId="77777777" w:rsidR="0061755F" w:rsidRPr="0061755F" w:rsidRDefault="0061755F" w:rsidP="0061755F"/>
    <w:p w14:paraId="053F0821" w14:textId="77777777" w:rsidR="00BA1580" w:rsidRDefault="00BA1580" w:rsidP="00BA1580"/>
    <w:sdt>
      <w:sdtPr>
        <w:rPr>
          <w:rFonts w:asciiTheme="minorHAnsi" w:eastAsiaTheme="minorEastAsia" w:hAnsiTheme="minorHAnsi" w:cstheme="minorBidi"/>
          <w:color w:val="auto"/>
          <w:sz w:val="24"/>
          <w:szCs w:val="24"/>
          <w:lang w:val="en-GB"/>
        </w:rPr>
        <w:id w:val="163528896"/>
        <w:docPartObj>
          <w:docPartGallery w:val="Table of Contents"/>
          <w:docPartUnique/>
        </w:docPartObj>
      </w:sdtPr>
      <w:sdtEndPr>
        <w:rPr>
          <w:b/>
          <w:bCs/>
          <w:noProof/>
        </w:rPr>
      </w:sdtEndPr>
      <w:sdtContent>
        <w:p w14:paraId="027CCF9C" w14:textId="68C912B8" w:rsidR="00B379F3" w:rsidRPr="00E77E18" w:rsidRDefault="00B379F3">
          <w:pPr>
            <w:pStyle w:val="TOCHeading"/>
            <w:rPr>
              <w:rStyle w:val="Heading1Char"/>
            </w:rPr>
          </w:pPr>
          <w:r w:rsidRPr="00E77E18">
            <w:rPr>
              <w:rStyle w:val="Heading1Char"/>
            </w:rPr>
            <w:t>Contents</w:t>
          </w:r>
        </w:p>
        <w:p w14:paraId="2541389D" w14:textId="391E4650" w:rsidR="00AB6A41" w:rsidRDefault="00B379F3">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78862604" w:history="1">
            <w:r w:rsidR="00AB6A41" w:rsidRPr="00645B47">
              <w:rPr>
                <w:rStyle w:val="Hyperlink"/>
                <w:noProof/>
              </w:rPr>
              <w:drawing>
                <wp:inline distT="0" distB="0" distL="0" distR="0" wp14:anchorId="71E21E29" wp14:editId="0AAC02C9">
                  <wp:extent cx="3194973" cy="803275"/>
                  <wp:effectExtent l="0" t="0" r="5715" b="0"/>
                  <wp:docPr id="1502896344" name="Picture 15028963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sidR="00AB6A41">
              <w:rPr>
                <w:noProof/>
                <w:webHidden/>
              </w:rPr>
              <w:tab/>
            </w:r>
            <w:r w:rsidR="00AB6A41">
              <w:rPr>
                <w:noProof/>
                <w:webHidden/>
              </w:rPr>
              <w:fldChar w:fldCharType="begin"/>
            </w:r>
            <w:r w:rsidR="00AB6A41">
              <w:rPr>
                <w:noProof/>
                <w:webHidden/>
              </w:rPr>
              <w:instrText xml:space="preserve"> PAGEREF _Toc178862604 \h </w:instrText>
            </w:r>
            <w:r w:rsidR="00AB6A41">
              <w:rPr>
                <w:noProof/>
                <w:webHidden/>
              </w:rPr>
            </w:r>
            <w:r w:rsidR="00AB6A41">
              <w:rPr>
                <w:noProof/>
                <w:webHidden/>
              </w:rPr>
              <w:fldChar w:fldCharType="separate"/>
            </w:r>
            <w:r w:rsidR="00AB6A41">
              <w:rPr>
                <w:noProof/>
                <w:webHidden/>
              </w:rPr>
              <w:t>0</w:t>
            </w:r>
            <w:r w:rsidR="00AB6A41">
              <w:rPr>
                <w:noProof/>
                <w:webHidden/>
              </w:rPr>
              <w:fldChar w:fldCharType="end"/>
            </w:r>
          </w:hyperlink>
        </w:p>
        <w:p w14:paraId="5225B19B" w14:textId="1383726F" w:rsidR="00AB6A41" w:rsidRDefault="00AB6A41">
          <w:pPr>
            <w:pStyle w:val="TOC1"/>
            <w:tabs>
              <w:tab w:val="right" w:leader="dot" w:pos="10212"/>
            </w:tabs>
            <w:rPr>
              <w:noProof/>
              <w:kern w:val="2"/>
              <w:lang w:eastAsia="en-GB"/>
              <w14:ligatures w14:val="standardContextual"/>
            </w:rPr>
          </w:pPr>
          <w:hyperlink w:anchor="_Toc178862605" w:history="1">
            <w:r w:rsidRPr="00645B47">
              <w:rPr>
                <w:rStyle w:val="Hyperlink"/>
                <w:rFonts w:eastAsia="Times New Roman"/>
                <w:noProof/>
              </w:rPr>
              <w:t>Update Summary</w:t>
            </w:r>
            <w:r>
              <w:rPr>
                <w:noProof/>
                <w:webHidden/>
              </w:rPr>
              <w:tab/>
            </w:r>
            <w:r>
              <w:rPr>
                <w:noProof/>
                <w:webHidden/>
              </w:rPr>
              <w:fldChar w:fldCharType="begin"/>
            </w:r>
            <w:r>
              <w:rPr>
                <w:noProof/>
                <w:webHidden/>
              </w:rPr>
              <w:instrText xml:space="preserve"> PAGEREF _Toc178862605 \h </w:instrText>
            </w:r>
            <w:r>
              <w:rPr>
                <w:noProof/>
                <w:webHidden/>
              </w:rPr>
            </w:r>
            <w:r>
              <w:rPr>
                <w:noProof/>
                <w:webHidden/>
              </w:rPr>
              <w:fldChar w:fldCharType="separate"/>
            </w:r>
            <w:r>
              <w:rPr>
                <w:noProof/>
                <w:webHidden/>
              </w:rPr>
              <w:t>1</w:t>
            </w:r>
            <w:r>
              <w:rPr>
                <w:noProof/>
                <w:webHidden/>
              </w:rPr>
              <w:fldChar w:fldCharType="end"/>
            </w:r>
          </w:hyperlink>
        </w:p>
        <w:p w14:paraId="0B1B6798" w14:textId="32756EB8" w:rsidR="00AB6A41" w:rsidRDefault="00AB6A41">
          <w:pPr>
            <w:pStyle w:val="TOC1"/>
            <w:tabs>
              <w:tab w:val="left" w:pos="480"/>
              <w:tab w:val="right" w:leader="dot" w:pos="10212"/>
            </w:tabs>
            <w:rPr>
              <w:noProof/>
              <w:kern w:val="2"/>
              <w:lang w:eastAsia="en-GB"/>
              <w14:ligatures w14:val="standardContextual"/>
            </w:rPr>
          </w:pPr>
          <w:hyperlink w:anchor="_Toc178862606" w:history="1">
            <w:r w:rsidRPr="00645B47">
              <w:rPr>
                <w:rStyle w:val="Hyperlink"/>
                <w:rFonts w:eastAsia="Times New Roman"/>
                <w:noProof/>
              </w:rPr>
              <w:t>1.</w:t>
            </w:r>
            <w:r>
              <w:rPr>
                <w:noProof/>
                <w:kern w:val="2"/>
                <w:lang w:eastAsia="en-GB"/>
                <w14:ligatures w14:val="standardContextual"/>
              </w:rPr>
              <w:tab/>
            </w:r>
            <w:r w:rsidRPr="00645B47">
              <w:rPr>
                <w:rStyle w:val="Hyperlink"/>
                <w:rFonts w:eastAsia="Times New Roman"/>
                <w:noProof/>
              </w:rPr>
              <w:t>Key points</w:t>
            </w:r>
            <w:r>
              <w:rPr>
                <w:noProof/>
                <w:webHidden/>
              </w:rPr>
              <w:tab/>
            </w:r>
            <w:r>
              <w:rPr>
                <w:noProof/>
                <w:webHidden/>
              </w:rPr>
              <w:fldChar w:fldCharType="begin"/>
            </w:r>
            <w:r>
              <w:rPr>
                <w:noProof/>
                <w:webHidden/>
              </w:rPr>
              <w:instrText xml:space="preserve"> PAGEREF _Toc178862606 \h </w:instrText>
            </w:r>
            <w:r>
              <w:rPr>
                <w:noProof/>
                <w:webHidden/>
              </w:rPr>
            </w:r>
            <w:r>
              <w:rPr>
                <w:noProof/>
                <w:webHidden/>
              </w:rPr>
              <w:fldChar w:fldCharType="separate"/>
            </w:r>
            <w:r>
              <w:rPr>
                <w:noProof/>
                <w:webHidden/>
              </w:rPr>
              <w:t>3</w:t>
            </w:r>
            <w:r>
              <w:rPr>
                <w:noProof/>
                <w:webHidden/>
              </w:rPr>
              <w:fldChar w:fldCharType="end"/>
            </w:r>
          </w:hyperlink>
        </w:p>
        <w:p w14:paraId="3561F55B" w14:textId="7E289AAE" w:rsidR="00AB6A41" w:rsidRDefault="00AB6A41">
          <w:pPr>
            <w:pStyle w:val="TOC1"/>
            <w:tabs>
              <w:tab w:val="left" w:pos="480"/>
              <w:tab w:val="right" w:leader="dot" w:pos="10212"/>
            </w:tabs>
            <w:rPr>
              <w:noProof/>
              <w:kern w:val="2"/>
              <w:lang w:eastAsia="en-GB"/>
              <w14:ligatures w14:val="standardContextual"/>
            </w:rPr>
          </w:pPr>
          <w:hyperlink w:anchor="_Toc178862607" w:history="1">
            <w:r w:rsidRPr="00645B47">
              <w:rPr>
                <w:rStyle w:val="Hyperlink"/>
                <w:rFonts w:eastAsia="Times New Roman"/>
                <w:noProof/>
              </w:rPr>
              <w:t>2.</w:t>
            </w:r>
            <w:r>
              <w:rPr>
                <w:noProof/>
                <w:kern w:val="2"/>
                <w:lang w:eastAsia="en-GB"/>
                <w14:ligatures w14:val="standardContextual"/>
              </w:rPr>
              <w:tab/>
            </w:r>
            <w:r w:rsidRPr="00645B47">
              <w:rPr>
                <w:rStyle w:val="Hyperlink"/>
                <w:rFonts w:eastAsia="Times New Roman"/>
                <w:noProof/>
              </w:rPr>
              <w:t>Types of overflows</w:t>
            </w:r>
            <w:r>
              <w:rPr>
                <w:noProof/>
                <w:webHidden/>
              </w:rPr>
              <w:tab/>
            </w:r>
            <w:r>
              <w:rPr>
                <w:noProof/>
                <w:webHidden/>
              </w:rPr>
              <w:fldChar w:fldCharType="begin"/>
            </w:r>
            <w:r>
              <w:rPr>
                <w:noProof/>
                <w:webHidden/>
              </w:rPr>
              <w:instrText xml:space="preserve"> PAGEREF _Toc178862607 \h </w:instrText>
            </w:r>
            <w:r>
              <w:rPr>
                <w:noProof/>
                <w:webHidden/>
              </w:rPr>
            </w:r>
            <w:r>
              <w:rPr>
                <w:noProof/>
                <w:webHidden/>
              </w:rPr>
              <w:fldChar w:fldCharType="separate"/>
            </w:r>
            <w:r>
              <w:rPr>
                <w:noProof/>
                <w:webHidden/>
              </w:rPr>
              <w:t>4</w:t>
            </w:r>
            <w:r>
              <w:rPr>
                <w:noProof/>
                <w:webHidden/>
              </w:rPr>
              <w:fldChar w:fldCharType="end"/>
            </w:r>
          </w:hyperlink>
        </w:p>
        <w:p w14:paraId="0A0E744F" w14:textId="5D2F8EE7" w:rsidR="00AB6A41" w:rsidRDefault="00AB6A41">
          <w:pPr>
            <w:pStyle w:val="TOC1"/>
            <w:tabs>
              <w:tab w:val="left" w:pos="480"/>
              <w:tab w:val="right" w:leader="dot" w:pos="10212"/>
            </w:tabs>
            <w:rPr>
              <w:noProof/>
              <w:kern w:val="2"/>
              <w:lang w:eastAsia="en-GB"/>
              <w14:ligatures w14:val="standardContextual"/>
            </w:rPr>
          </w:pPr>
          <w:hyperlink w:anchor="_Toc178862608" w:history="1">
            <w:r w:rsidRPr="00645B47">
              <w:rPr>
                <w:rStyle w:val="Hyperlink"/>
                <w:noProof/>
              </w:rPr>
              <w:t>3.</w:t>
            </w:r>
            <w:r>
              <w:rPr>
                <w:noProof/>
                <w:kern w:val="2"/>
                <w:lang w:eastAsia="en-GB"/>
                <w14:ligatures w14:val="standardContextual"/>
              </w:rPr>
              <w:tab/>
            </w:r>
            <w:r w:rsidRPr="00645B47">
              <w:rPr>
                <w:rStyle w:val="Hyperlink"/>
                <w:noProof/>
              </w:rPr>
              <w:t>Applying for a licence for an overflow</w:t>
            </w:r>
            <w:r>
              <w:rPr>
                <w:noProof/>
                <w:webHidden/>
              </w:rPr>
              <w:tab/>
            </w:r>
            <w:r>
              <w:rPr>
                <w:noProof/>
                <w:webHidden/>
              </w:rPr>
              <w:fldChar w:fldCharType="begin"/>
            </w:r>
            <w:r>
              <w:rPr>
                <w:noProof/>
                <w:webHidden/>
              </w:rPr>
              <w:instrText xml:space="preserve"> PAGEREF _Toc178862608 \h </w:instrText>
            </w:r>
            <w:r>
              <w:rPr>
                <w:noProof/>
                <w:webHidden/>
              </w:rPr>
            </w:r>
            <w:r>
              <w:rPr>
                <w:noProof/>
                <w:webHidden/>
              </w:rPr>
              <w:fldChar w:fldCharType="separate"/>
            </w:r>
            <w:r>
              <w:rPr>
                <w:noProof/>
                <w:webHidden/>
              </w:rPr>
              <w:t>5</w:t>
            </w:r>
            <w:r>
              <w:rPr>
                <w:noProof/>
                <w:webHidden/>
              </w:rPr>
              <w:fldChar w:fldCharType="end"/>
            </w:r>
          </w:hyperlink>
        </w:p>
        <w:p w14:paraId="6790C2C7" w14:textId="3E742EEF" w:rsidR="00AB6A41" w:rsidRDefault="00AB6A41">
          <w:pPr>
            <w:pStyle w:val="TOC2"/>
            <w:tabs>
              <w:tab w:val="left" w:pos="960"/>
              <w:tab w:val="right" w:leader="dot" w:pos="10212"/>
            </w:tabs>
            <w:rPr>
              <w:noProof/>
              <w:kern w:val="2"/>
              <w:lang w:eastAsia="en-GB"/>
              <w14:ligatures w14:val="standardContextual"/>
            </w:rPr>
          </w:pPr>
          <w:hyperlink w:anchor="_Toc178862609" w:history="1">
            <w:r w:rsidRPr="00645B47">
              <w:rPr>
                <w:rStyle w:val="Hyperlink"/>
                <w:rFonts w:eastAsia="Times New Roman"/>
                <w:noProof/>
              </w:rPr>
              <w:t>3.1</w:t>
            </w:r>
            <w:r>
              <w:rPr>
                <w:noProof/>
                <w:kern w:val="2"/>
                <w:lang w:eastAsia="en-GB"/>
                <w14:ligatures w14:val="standardContextual"/>
              </w:rPr>
              <w:tab/>
            </w:r>
            <w:r w:rsidRPr="00645B47">
              <w:rPr>
                <w:rStyle w:val="Hyperlink"/>
                <w:rFonts w:eastAsia="Times New Roman"/>
                <w:noProof/>
              </w:rPr>
              <w:t>Licence templates</w:t>
            </w:r>
            <w:r>
              <w:rPr>
                <w:noProof/>
                <w:webHidden/>
              </w:rPr>
              <w:tab/>
            </w:r>
            <w:r>
              <w:rPr>
                <w:noProof/>
                <w:webHidden/>
              </w:rPr>
              <w:fldChar w:fldCharType="begin"/>
            </w:r>
            <w:r>
              <w:rPr>
                <w:noProof/>
                <w:webHidden/>
              </w:rPr>
              <w:instrText xml:space="preserve"> PAGEREF _Toc178862609 \h </w:instrText>
            </w:r>
            <w:r>
              <w:rPr>
                <w:noProof/>
                <w:webHidden/>
              </w:rPr>
            </w:r>
            <w:r>
              <w:rPr>
                <w:noProof/>
                <w:webHidden/>
              </w:rPr>
              <w:fldChar w:fldCharType="separate"/>
            </w:r>
            <w:r>
              <w:rPr>
                <w:noProof/>
                <w:webHidden/>
              </w:rPr>
              <w:t>6</w:t>
            </w:r>
            <w:r>
              <w:rPr>
                <w:noProof/>
                <w:webHidden/>
              </w:rPr>
              <w:fldChar w:fldCharType="end"/>
            </w:r>
          </w:hyperlink>
        </w:p>
        <w:p w14:paraId="378D4275" w14:textId="304614F9" w:rsidR="00AB6A41" w:rsidRDefault="00AB6A41">
          <w:pPr>
            <w:pStyle w:val="TOC2"/>
            <w:tabs>
              <w:tab w:val="left" w:pos="960"/>
              <w:tab w:val="right" w:leader="dot" w:pos="10212"/>
            </w:tabs>
            <w:rPr>
              <w:noProof/>
              <w:kern w:val="2"/>
              <w:lang w:eastAsia="en-GB"/>
              <w14:ligatures w14:val="standardContextual"/>
            </w:rPr>
          </w:pPr>
          <w:hyperlink w:anchor="_Toc178862610" w:history="1">
            <w:r w:rsidRPr="00645B47">
              <w:rPr>
                <w:rStyle w:val="Hyperlink"/>
                <w:rFonts w:eastAsia="Times New Roman"/>
                <w:noProof/>
              </w:rPr>
              <w:t>3.2</w:t>
            </w:r>
            <w:r>
              <w:rPr>
                <w:noProof/>
                <w:kern w:val="2"/>
                <w:lang w:eastAsia="en-GB"/>
                <w14:ligatures w14:val="standardContextual"/>
              </w:rPr>
              <w:tab/>
            </w:r>
            <w:r w:rsidRPr="00645B47">
              <w:rPr>
                <w:rStyle w:val="Hyperlink"/>
                <w:rFonts w:eastAsia="Times New Roman"/>
                <w:noProof/>
              </w:rPr>
              <w:t>Licensing existing CSOs or EOs</w:t>
            </w:r>
            <w:r>
              <w:rPr>
                <w:noProof/>
                <w:webHidden/>
              </w:rPr>
              <w:tab/>
            </w:r>
            <w:r>
              <w:rPr>
                <w:noProof/>
                <w:webHidden/>
              </w:rPr>
              <w:fldChar w:fldCharType="begin"/>
            </w:r>
            <w:r>
              <w:rPr>
                <w:noProof/>
                <w:webHidden/>
              </w:rPr>
              <w:instrText xml:space="preserve"> PAGEREF _Toc178862610 \h </w:instrText>
            </w:r>
            <w:r>
              <w:rPr>
                <w:noProof/>
                <w:webHidden/>
              </w:rPr>
            </w:r>
            <w:r>
              <w:rPr>
                <w:noProof/>
                <w:webHidden/>
              </w:rPr>
              <w:fldChar w:fldCharType="separate"/>
            </w:r>
            <w:r>
              <w:rPr>
                <w:noProof/>
                <w:webHidden/>
              </w:rPr>
              <w:t>7</w:t>
            </w:r>
            <w:r>
              <w:rPr>
                <w:noProof/>
                <w:webHidden/>
              </w:rPr>
              <w:fldChar w:fldCharType="end"/>
            </w:r>
          </w:hyperlink>
        </w:p>
        <w:p w14:paraId="413B4723" w14:textId="584B909B" w:rsidR="00AB6A41" w:rsidRDefault="00AB6A41">
          <w:pPr>
            <w:pStyle w:val="TOC2"/>
            <w:tabs>
              <w:tab w:val="left" w:pos="960"/>
              <w:tab w:val="right" w:leader="dot" w:pos="10212"/>
            </w:tabs>
            <w:rPr>
              <w:noProof/>
              <w:kern w:val="2"/>
              <w:lang w:eastAsia="en-GB"/>
              <w14:ligatures w14:val="standardContextual"/>
            </w:rPr>
          </w:pPr>
          <w:hyperlink w:anchor="_Toc178862611" w:history="1">
            <w:r w:rsidRPr="00645B47">
              <w:rPr>
                <w:rStyle w:val="Hyperlink"/>
                <w:rFonts w:eastAsia="Times New Roman"/>
                <w:noProof/>
              </w:rPr>
              <w:t>3.3</w:t>
            </w:r>
            <w:r>
              <w:rPr>
                <w:noProof/>
                <w:kern w:val="2"/>
                <w:lang w:eastAsia="en-GB"/>
                <w14:ligatures w14:val="standardContextual"/>
              </w:rPr>
              <w:tab/>
            </w:r>
            <w:r w:rsidRPr="00645B47">
              <w:rPr>
                <w:rStyle w:val="Hyperlink"/>
                <w:rFonts w:eastAsia="Times New Roman"/>
                <w:noProof/>
              </w:rPr>
              <w:t>Licensing new CSOs or EOs</w:t>
            </w:r>
            <w:r>
              <w:rPr>
                <w:noProof/>
                <w:webHidden/>
              </w:rPr>
              <w:tab/>
            </w:r>
            <w:r>
              <w:rPr>
                <w:noProof/>
                <w:webHidden/>
              </w:rPr>
              <w:fldChar w:fldCharType="begin"/>
            </w:r>
            <w:r>
              <w:rPr>
                <w:noProof/>
                <w:webHidden/>
              </w:rPr>
              <w:instrText xml:space="preserve"> PAGEREF _Toc178862611 \h </w:instrText>
            </w:r>
            <w:r>
              <w:rPr>
                <w:noProof/>
                <w:webHidden/>
              </w:rPr>
            </w:r>
            <w:r>
              <w:rPr>
                <w:noProof/>
                <w:webHidden/>
              </w:rPr>
              <w:fldChar w:fldCharType="separate"/>
            </w:r>
            <w:r>
              <w:rPr>
                <w:noProof/>
                <w:webHidden/>
              </w:rPr>
              <w:t>8</w:t>
            </w:r>
            <w:r>
              <w:rPr>
                <w:noProof/>
                <w:webHidden/>
              </w:rPr>
              <w:fldChar w:fldCharType="end"/>
            </w:r>
          </w:hyperlink>
        </w:p>
        <w:p w14:paraId="1A24F23E" w14:textId="5C2E61D9" w:rsidR="00AB6A41" w:rsidRDefault="00AB6A41">
          <w:pPr>
            <w:pStyle w:val="TOC1"/>
            <w:tabs>
              <w:tab w:val="left" w:pos="480"/>
              <w:tab w:val="right" w:leader="dot" w:pos="10212"/>
            </w:tabs>
            <w:rPr>
              <w:noProof/>
              <w:kern w:val="2"/>
              <w:lang w:eastAsia="en-GB"/>
              <w14:ligatures w14:val="standardContextual"/>
            </w:rPr>
          </w:pPr>
          <w:hyperlink w:anchor="_Toc178862612" w:history="1">
            <w:r w:rsidRPr="00645B47">
              <w:rPr>
                <w:rStyle w:val="Hyperlink"/>
                <w:rFonts w:eastAsia="Times New Roman"/>
                <w:noProof/>
              </w:rPr>
              <w:t>4.</w:t>
            </w:r>
            <w:r>
              <w:rPr>
                <w:noProof/>
                <w:kern w:val="2"/>
                <w:lang w:eastAsia="en-GB"/>
                <w14:ligatures w14:val="standardContextual"/>
              </w:rPr>
              <w:tab/>
            </w:r>
            <w:r w:rsidRPr="00645B47">
              <w:rPr>
                <w:rStyle w:val="Hyperlink"/>
                <w:rFonts w:eastAsia="Times New Roman"/>
                <w:noProof/>
              </w:rPr>
              <w:t>Designing CSOs to protect the water environment</w:t>
            </w:r>
            <w:r>
              <w:rPr>
                <w:noProof/>
                <w:webHidden/>
              </w:rPr>
              <w:tab/>
            </w:r>
            <w:r>
              <w:rPr>
                <w:noProof/>
                <w:webHidden/>
              </w:rPr>
              <w:fldChar w:fldCharType="begin"/>
            </w:r>
            <w:r>
              <w:rPr>
                <w:noProof/>
                <w:webHidden/>
              </w:rPr>
              <w:instrText xml:space="preserve"> PAGEREF _Toc178862612 \h </w:instrText>
            </w:r>
            <w:r>
              <w:rPr>
                <w:noProof/>
                <w:webHidden/>
              </w:rPr>
            </w:r>
            <w:r>
              <w:rPr>
                <w:noProof/>
                <w:webHidden/>
              </w:rPr>
              <w:fldChar w:fldCharType="separate"/>
            </w:r>
            <w:r>
              <w:rPr>
                <w:noProof/>
                <w:webHidden/>
              </w:rPr>
              <w:t>9</w:t>
            </w:r>
            <w:r>
              <w:rPr>
                <w:noProof/>
                <w:webHidden/>
              </w:rPr>
              <w:fldChar w:fldCharType="end"/>
            </w:r>
          </w:hyperlink>
        </w:p>
        <w:p w14:paraId="166DF6EA" w14:textId="055A0797" w:rsidR="00AB6A41" w:rsidRDefault="00AB6A41">
          <w:pPr>
            <w:pStyle w:val="TOC2"/>
            <w:tabs>
              <w:tab w:val="left" w:pos="960"/>
              <w:tab w:val="right" w:leader="dot" w:pos="10212"/>
            </w:tabs>
            <w:rPr>
              <w:noProof/>
              <w:kern w:val="2"/>
              <w:lang w:eastAsia="en-GB"/>
              <w14:ligatures w14:val="standardContextual"/>
            </w:rPr>
          </w:pPr>
          <w:hyperlink w:anchor="_Toc178862613" w:history="1">
            <w:r w:rsidRPr="00645B47">
              <w:rPr>
                <w:rStyle w:val="Hyperlink"/>
                <w:noProof/>
              </w:rPr>
              <w:t>4.1.</w:t>
            </w:r>
            <w:r>
              <w:rPr>
                <w:noProof/>
                <w:kern w:val="2"/>
                <w:lang w:eastAsia="en-GB"/>
                <w14:ligatures w14:val="standardContextual"/>
              </w:rPr>
              <w:tab/>
            </w:r>
            <w:r w:rsidRPr="00645B47">
              <w:rPr>
                <w:rStyle w:val="Hyperlink"/>
                <w:noProof/>
              </w:rPr>
              <w:t>CSO discharges to watercourses</w:t>
            </w:r>
            <w:r>
              <w:rPr>
                <w:noProof/>
                <w:webHidden/>
              </w:rPr>
              <w:tab/>
            </w:r>
            <w:r>
              <w:rPr>
                <w:noProof/>
                <w:webHidden/>
              </w:rPr>
              <w:fldChar w:fldCharType="begin"/>
            </w:r>
            <w:r>
              <w:rPr>
                <w:noProof/>
                <w:webHidden/>
              </w:rPr>
              <w:instrText xml:space="preserve"> PAGEREF _Toc178862613 \h </w:instrText>
            </w:r>
            <w:r>
              <w:rPr>
                <w:noProof/>
                <w:webHidden/>
              </w:rPr>
            </w:r>
            <w:r>
              <w:rPr>
                <w:noProof/>
                <w:webHidden/>
              </w:rPr>
              <w:fldChar w:fldCharType="separate"/>
            </w:r>
            <w:r>
              <w:rPr>
                <w:noProof/>
                <w:webHidden/>
              </w:rPr>
              <w:t>10</w:t>
            </w:r>
            <w:r>
              <w:rPr>
                <w:noProof/>
                <w:webHidden/>
              </w:rPr>
              <w:fldChar w:fldCharType="end"/>
            </w:r>
          </w:hyperlink>
        </w:p>
        <w:p w14:paraId="13A61FF0" w14:textId="07E30147" w:rsidR="00AB6A41" w:rsidRDefault="00AB6A41">
          <w:pPr>
            <w:pStyle w:val="TOC3"/>
            <w:tabs>
              <w:tab w:val="left" w:pos="1440"/>
              <w:tab w:val="right" w:leader="dot" w:pos="10212"/>
            </w:tabs>
            <w:rPr>
              <w:noProof/>
              <w:kern w:val="2"/>
              <w:lang w:eastAsia="en-GB"/>
              <w14:ligatures w14:val="standardContextual"/>
            </w:rPr>
          </w:pPr>
          <w:hyperlink w:anchor="_Toc178862614" w:history="1">
            <w:r w:rsidRPr="00645B47">
              <w:rPr>
                <w:rStyle w:val="Hyperlink"/>
                <w:rFonts w:eastAsia="Times New Roman"/>
                <w:noProof/>
                <w:lang w:eastAsia="en-GB"/>
              </w:rPr>
              <w:t>4.1.1</w:t>
            </w:r>
            <w:r>
              <w:rPr>
                <w:noProof/>
                <w:kern w:val="2"/>
                <w:lang w:eastAsia="en-GB"/>
                <w14:ligatures w14:val="standardContextual"/>
              </w:rPr>
              <w:tab/>
            </w:r>
            <w:r w:rsidRPr="00645B47">
              <w:rPr>
                <w:rStyle w:val="Hyperlink"/>
                <w:rFonts w:eastAsia="Times New Roman"/>
                <w:noProof/>
                <w:lang w:eastAsia="en-GB"/>
              </w:rPr>
              <w:t>Low significance discharges</w:t>
            </w:r>
            <w:r>
              <w:rPr>
                <w:noProof/>
                <w:webHidden/>
              </w:rPr>
              <w:tab/>
            </w:r>
            <w:r>
              <w:rPr>
                <w:noProof/>
                <w:webHidden/>
              </w:rPr>
              <w:fldChar w:fldCharType="begin"/>
            </w:r>
            <w:r>
              <w:rPr>
                <w:noProof/>
                <w:webHidden/>
              </w:rPr>
              <w:instrText xml:space="preserve"> PAGEREF _Toc178862614 \h </w:instrText>
            </w:r>
            <w:r>
              <w:rPr>
                <w:noProof/>
                <w:webHidden/>
              </w:rPr>
            </w:r>
            <w:r>
              <w:rPr>
                <w:noProof/>
                <w:webHidden/>
              </w:rPr>
              <w:fldChar w:fldCharType="separate"/>
            </w:r>
            <w:r>
              <w:rPr>
                <w:noProof/>
                <w:webHidden/>
              </w:rPr>
              <w:t>10</w:t>
            </w:r>
            <w:r>
              <w:rPr>
                <w:noProof/>
                <w:webHidden/>
              </w:rPr>
              <w:fldChar w:fldCharType="end"/>
            </w:r>
          </w:hyperlink>
        </w:p>
        <w:p w14:paraId="6724051D" w14:textId="1730035F" w:rsidR="00AB6A41" w:rsidRDefault="00AB6A41">
          <w:pPr>
            <w:pStyle w:val="TOC3"/>
            <w:tabs>
              <w:tab w:val="left" w:pos="1440"/>
              <w:tab w:val="right" w:leader="dot" w:pos="10212"/>
            </w:tabs>
            <w:rPr>
              <w:noProof/>
              <w:kern w:val="2"/>
              <w:lang w:eastAsia="en-GB"/>
              <w14:ligatures w14:val="standardContextual"/>
            </w:rPr>
          </w:pPr>
          <w:hyperlink w:anchor="_Toc178862615" w:history="1">
            <w:r w:rsidRPr="00645B47">
              <w:rPr>
                <w:rStyle w:val="Hyperlink"/>
                <w:rFonts w:eastAsia="Times New Roman"/>
                <w:noProof/>
                <w:lang w:eastAsia="en-GB"/>
              </w:rPr>
              <w:t>4.1.2</w:t>
            </w:r>
            <w:r>
              <w:rPr>
                <w:noProof/>
                <w:kern w:val="2"/>
                <w:lang w:eastAsia="en-GB"/>
                <w14:ligatures w14:val="standardContextual"/>
              </w:rPr>
              <w:tab/>
            </w:r>
            <w:r w:rsidRPr="00645B47">
              <w:rPr>
                <w:rStyle w:val="Hyperlink"/>
                <w:rFonts w:eastAsia="Times New Roman"/>
                <w:noProof/>
                <w:lang w:eastAsia="en-GB"/>
              </w:rPr>
              <w:t>Medium significance discharges</w:t>
            </w:r>
            <w:r>
              <w:rPr>
                <w:noProof/>
                <w:webHidden/>
              </w:rPr>
              <w:tab/>
            </w:r>
            <w:r>
              <w:rPr>
                <w:noProof/>
                <w:webHidden/>
              </w:rPr>
              <w:fldChar w:fldCharType="begin"/>
            </w:r>
            <w:r>
              <w:rPr>
                <w:noProof/>
                <w:webHidden/>
              </w:rPr>
              <w:instrText xml:space="preserve"> PAGEREF _Toc178862615 \h </w:instrText>
            </w:r>
            <w:r>
              <w:rPr>
                <w:noProof/>
                <w:webHidden/>
              </w:rPr>
            </w:r>
            <w:r>
              <w:rPr>
                <w:noProof/>
                <w:webHidden/>
              </w:rPr>
              <w:fldChar w:fldCharType="separate"/>
            </w:r>
            <w:r>
              <w:rPr>
                <w:noProof/>
                <w:webHidden/>
              </w:rPr>
              <w:t>12</w:t>
            </w:r>
            <w:r>
              <w:rPr>
                <w:noProof/>
                <w:webHidden/>
              </w:rPr>
              <w:fldChar w:fldCharType="end"/>
            </w:r>
          </w:hyperlink>
        </w:p>
        <w:p w14:paraId="6BE51BF3" w14:textId="638C3FEB" w:rsidR="00AB6A41" w:rsidRDefault="00AB6A41">
          <w:pPr>
            <w:pStyle w:val="TOC3"/>
            <w:tabs>
              <w:tab w:val="left" w:pos="1440"/>
              <w:tab w:val="right" w:leader="dot" w:pos="10212"/>
            </w:tabs>
            <w:rPr>
              <w:noProof/>
              <w:kern w:val="2"/>
              <w:lang w:eastAsia="en-GB"/>
              <w14:ligatures w14:val="standardContextual"/>
            </w:rPr>
          </w:pPr>
          <w:hyperlink w:anchor="_Toc178862616" w:history="1">
            <w:r w:rsidRPr="00645B47">
              <w:rPr>
                <w:rStyle w:val="Hyperlink"/>
                <w:noProof/>
              </w:rPr>
              <w:t>4.1.3</w:t>
            </w:r>
            <w:r>
              <w:rPr>
                <w:noProof/>
                <w:kern w:val="2"/>
                <w:lang w:eastAsia="en-GB"/>
                <w14:ligatures w14:val="standardContextual"/>
              </w:rPr>
              <w:tab/>
            </w:r>
            <w:r w:rsidRPr="00645B47">
              <w:rPr>
                <w:rStyle w:val="Hyperlink"/>
                <w:noProof/>
              </w:rPr>
              <w:t>High significance discharges</w:t>
            </w:r>
            <w:r>
              <w:rPr>
                <w:noProof/>
                <w:webHidden/>
              </w:rPr>
              <w:tab/>
            </w:r>
            <w:r>
              <w:rPr>
                <w:noProof/>
                <w:webHidden/>
              </w:rPr>
              <w:fldChar w:fldCharType="begin"/>
            </w:r>
            <w:r>
              <w:rPr>
                <w:noProof/>
                <w:webHidden/>
              </w:rPr>
              <w:instrText xml:space="preserve"> PAGEREF _Toc178862616 \h </w:instrText>
            </w:r>
            <w:r>
              <w:rPr>
                <w:noProof/>
                <w:webHidden/>
              </w:rPr>
            </w:r>
            <w:r>
              <w:rPr>
                <w:noProof/>
                <w:webHidden/>
              </w:rPr>
              <w:fldChar w:fldCharType="separate"/>
            </w:r>
            <w:r>
              <w:rPr>
                <w:noProof/>
                <w:webHidden/>
              </w:rPr>
              <w:t>13</w:t>
            </w:r>
            <w:r>
              <w:rPr>
                <w:noProof/>
                <w:webHidden/>
              </w:rPr>
              <w:fldChar w:fldCharType="end"/>
            </w:r>
          </w:hyperlink>
        </w:p>
        <w:p w14:paraId="4F6E2121" w14:textId="1B45BF47" w:rsidR="00AB6A41" w:rsidRDefault="00AB6A41">
          <w:pPr>
            <w:pStyle w:val="TOC2"/>
            <w:tabs>
              <w:tab w:val="left" w:pos="960"/>
              <w:tab w:val="right" w:leader="dot" w:pos="10212"/>
            </w:tabs>
            <w:rPr>
              <w:noProof/>
              <w:kern w:val="2"/>
              <w:lang w:eastAsia="en-GB"/>
              <w14:ligatures w14:val="standardContextual"/>
            </w:rPr>
          </w:pPr>
          <w:hyperlink w:anchor="_Toc178862617" w:history="1">
            <w:r w:rsidRPr="00645B47">
              <w:rPr>
                <w:rStyle w:val="Hyperlink"/>
                <w:noProof/>
              </w:rPr>
              <w:t>4.2</w:t>
            </w:r>
            <w:r>
              <w:rPr>
                <w:noProof/>
                <w:kern w:val="2"/>
                <w:lang w:eastAsia="en-GB"/>
                <w14:ligatures w14:val="standardContextual"/>
              </w:rPr>
              <w:tab/>
            </w:r>
            <w:r w:rsidRPr="00645B47">
              <w:rPr>
                <w:rStyle w:val="Hyperlink"/>
                <w:noProof/>
              </w:rPr>
              <w:t>CSO discharges to coastal and transitional waters</w:t>
            </w:r>
            <w:r>
              <w:rPr>
                <w:noProof/>
                <w:webHidden/>
              </w:rPr>
              <w:tab/>
            </w:r>
            <w:r>
              <w:rPr>
                <w:noProof/>
                <w:webHidden/>
              </w:rPr>
              <w:fldChar w:fldCharType="begin"/>
            </w:r>
            <w:r>
              <w:rPr>
                <w:noProof/>
                <w:webHidden/>
              </w:rPr>
              <w:instrText xml:space="preserve"> PAGEREF _Toc178862617 \h </w:instrText>
            </w:r>
            <w:r>
              <w:rPr>
                <w:noProof/>
                <w:webHidden/>
              </w:rPr>
            </w:r>
            <w:r>
              <w:rPr>
                <w:noProof/>
                <w:webHidden/>
              </w:rPr>
              <w:fldChar w:fldCharType="separate"/>
            </w:r>
            <w:r>
              <w:rPr>
                <w:noProof/>
                <w:webHidden/>
              </w:rPr>
              <w:t>14</w:t>
            </w:r>
            <w:r>
              <w:rPr>
                <w:noProof/>
                <w:webHidden/>
              </w:rPr>
              <w:fldChar w:fldCharType="end"/>
            </w:r>
          </w:hyperlink>
        </w:p>
        <w:p w14:paraId="4EF9BF89" w14:textId="4C726EED" w:rsidR="00AB6A41" w:rsidRDefault="00AB6A41">
          <w:pPr>
            <w:pStyle w:val="TOC3"/>
            <w:tabs>
              <w:tab w:val="left" w:pos="1440"/>
              <w:tab w:val="right" w:leader="dot" w:pos="10212"/>
            </w:tabs>
            <w:rPr>
              <w:noProof/>
              <w:kern w:val="2"/>
              <w:lang w:eastAsia="en-GB"/>
              <w14:ligatures w14:val="standardContextual"/>
            </w:rPr>
          </w:pPr>
          <w:hyperlink w:anchor="_Toc178862618" w:history="1">
            <w:r w:rsidRPr="00645B47">
              <w:rPr>
                <w:rStyle w:val="Hyperlink"/>
                <w:noProof/>
              </w:rPr>
              <w:t>4.2.1</w:t>
            </w:r>
            <w:r>
              <w:rPr>
                <w:noProof/>
                <w:kern w:val="2"/>
                <w:lang w:eastAsia="en-GB"/>
                <w14:ligatures w14:val="standardContextual"/>
              </w:rPr>
              <w:tab/>
            </w:r>
            <w:r w:rsidRPr="00645B47">
              <w:rPr>
                <w:rStyle w:val="Hyperlink"/>
                <w:noProof/>
              </w:rPr>
              <w:t>Low significance discharges</w:t>
            </w:r>
            <w:r>
              <w:rPr>
                <w:noProof/>
                <w:webHidden/>
              </w:rPr>
              <w:tab/>
            </w:r>
            <w:r>
              <w:rPr>
                <w:noProof/>
                <w:webHidden/>
              </w:rPr>
              <w:fldChar w:fldCharType="begin"/>
            </w:r>
            <w:r>
              <w:rPr>
                <w:noProof/>
                <w:webHidden/>
              </w:rPr>
              <w:instrText xml:space="preserve"> PAGEREF _Toc178862618 \h </w:instrText>
            </w:r>
            <w:r>
              <w:rPr>
                <w:noProof/>
                <w:webHidden/>
              </w:rPr>
            </w:r>
            <w:r>
              <w:rPr>
                <w:noProof/>
                <w:webHidden/>
              </w:rPr>
              <w:fldChar w:fldCharType="separate"/>
            </w:r>
            <w:r>
              <w:rPr>
                <w:noProof/>
                <w:webHidden/>
              </w:rPr>
              <w:t>14</w:t>
            </w:r>
            <w:r>
              <w:rPr>
                <w:noProof/>
                <w:webHidden/>
              </w:rPr>
              <w:fldChar w:fldCharType="end"/>
            </w:r>
          </w:hyperlink>
        </w:p>
        <w:p w14:paraId="5E35CEB9" w14:textId="38C1FBA2" w:rsidR="00AB6A41" w:rsidRDefault="00AB6A41">
          <w:pPr>
            <w:pStyle w:val="TOC3"/>
            <w:tabs>
              <w:tab w:val="left" w:pos="1440"/>
              <w:tab w:val="right" w:leader="dot" w:pos="10212"/>
            </w:tabs>
            <w:rPr>
              <w:noProof/>
              <w:kern w:val="2"/>
              <w:lang w:eastAsia="en-GB"/>
              <w14:ligatures w14:val="standardContextual"/>
            </w:rPr>
          </w:pPr>
          <w:hyperlink w:anchor="_Toc178862619" w:history="1">
            <w:r w:rsidRPr="00645B47">
              <w:rPr>
                <w:rStyle w:val="Hyperlink"/>
                <w:noProof/>
              </w:rPr>
              <w:t>4.2.3</w:t>
            </w:r>
            <w:r>
              <w:rPr>
                <w:noProof/>
                <w:kern w:val="2"/>
                <w:lang w:eastAsia="en-GB"/>
                <w14:ligatures w14:val="standardContextual"/>
              </w:rPr>
              <w:tab/>
            </w:r>
            <w:r w:rsidRPr="00645B47">
              <w:rPr>
                <w:rStyle w:val="Hyperlink"/>
                <w:noProof/>
              </w:rPr>
              <w:t>Medium significance discharges</w:t>
            </w:r>
            <w:r>
              <w:rPr>
                <w:noProof/>
                <w:webHidden/>
              </w:rPr>
              <w:tab/>
            </w:r>
            <w:r>
              <w:rPr>
                <w:noProof/>
                <w:webHidden/>
              </w:rPr>
              <w:fldChar w:fldCharType="begin"/>
            </w:r>
            <w:r>
              <w:rPr>
                <w:noProof/>
                <w:webHidden/>
              </w:rPr>
              <w:instrText xml:space="preserve"> PAGEREF _Toc178862619 \h </w:instrText>
            </w:r>
            <w:r>
              <w:rPr>
                <w:noProof/>
                <w:webHidden/>
              </w:rPr>
            </w:r>
            <w:r>
              <w:rPr>
                <w:noProof/>
                <w:webHidden/>
              </w:rPr>
              <w:fldChar w:fldCharType="separate"/>
            </w:r>
            <w:r>
              <w:rPr>
                <w:noProof/>
                <w:webHidden/>
              </w:rPr>
              <w:t>15</w:t>
            </w:r>
            <w:r>
              <w:rPr>
                <w:noProof/>
                <w:webHidden/>
              </w:rPr>
              <w:fldChar w:fldCharType="end"/>
            </w:r>
          </w:hyperlink>
        </w:p>
        <w:p w14:paraId="514874E2" w14:textId="47E6F370" w:rsidR="00AB6A41" w:rsidRDefault="00AB6A41">
          <w:pPr>
            <w:pStyle w:val="TOC3"/>
            <w:tabs>
              <w:tab w:val="left" w:pos="1440"/>
              <w:tab w:val="right" w:leader="dot" w:pos="10212"/>
            </w:tabs>
            <w:rPr>
              <w:noProof/>
              <w:kern w:val="2"/>
              <w:lang w:eastAsia="en-GB"/>
              <w14:ligatures w14:val="standardContextual"/>
            </w:rPr>
          </w:pPr>
          <w:hyperlink w:anchor="_Toc178862620" w:history="1">
            <w:r w:rsidRPr="00645B47">
              <w:rPr>
                <w:rStyle w:val="Hyperlink"/>
                <w:noProof/>
              </w:rPr>
              <w:t>4.2.3</w:t>
            </w:r>
            <w:r>
              <w:rPr>
                <w:noProof/>
                <w:kern w:val="2"/>
                <w:lang w:eastAsia="en-GB"/>
                <w14:ligatures w14:val="standardContextual"/>
              </w:rPr>
              <w:tab/>
            </w:r>
            <w:r w:rsidRPr="00645B47">
              <w:rPr>
                <w:rStyle w:val="Hyperlink"/>
                <w:noProof/>
              </w:rPr>
              <w:t>High significance discharges</w:t>
            </w:r>
            <w:r>
              <w:rPr>
                <w:noProof/>
                <w:webHidden/>
              </w:rPr>
              <w:tab/>
            </w:r>
            <w:r>
              <w:rPr>
                <w:noProof/>
                <w:webHidden/>
              </w:rPr>
              <w:fldChar w:fldCharType="begin"/>
            </w:r>
            <w:r>
              <w:rPr>
                <w:noProof/>
                <w:webHidden/>
              </w:rPr>
              <w:instrText xml:space="preserve"> PAGEREF _Toc178862620 \h </w:instrText>
            </w:r>
            <w:r>
              <w:rPr>
                <w:noProof/>
                <w:webHidden/>
              </w:rPr>
            </w:r>
            <w:r>
              <w:rPr>
                <w:noProof/>
                <w:webHidden/>
              </w:rPr>
              <w:fldChar w:fldCharType="separate"/>
            </w:r>
            <w:r>
              <w:rPr>
                <w:noProof/>
                <w:webHidden/>
              </w:rPr>
              <w:t>15</w:t>
            </w:r>
            <w:r>
              <w:rPr>
                <w:noProof/>
                <w:webHidden/>
              </w:rPr>
              <w:fldChar w:fldCharType="end"/>
            </w:r>
          </w:hyperlink>
        </w:p>
        <w:p w14:paraId="63B8EE99" w14:textId="7F9503C9" w:rsidR="00AB6A41" w:rsidRDefault="00AB6A41">
          <w:pPr>
            <w:pStyle w:val="TOC3"/>
            <w:tabs>
              <w:tab w:val="left" w:pos="1440"/>
              <w:tab w:val="right" w:leader="dot" w:pos="10212"/>
            </w:tabs>
            <w:rPr>
              <w:noProof/>
              <w:kern w:val="2"/>
              <w:lang w:eastAsia="en-GB"/>
              <w14:ligatures w14:val="standardContextual"/>
            </w:rPr>
          </w:pPr>
          <w:hyperlink w:anchor="_Toc178862621" w:history="1">
            <w:r w:rsidRPr="00645B47">
              <w:rPr>
                <w:rStyle w:val="Hyperlink"/>
                <w:noProof/>
              </w:rPr>
              <w:t>4.2.4</w:t>
            </w:r>
            <w:r>
              <w:rPr>
                <w:noProof/>
                <w:kern w:val="2"/>
                <w:lang w:eastAsia="en-GB"/>
                <w14:ligatures w14:val="standardContextual"/>
              </w:rPr>
              <w:tab/>
            </w:r>
            <w:r w:rsidRPr="00645B47">
              <w:rPr>
                <w:rStyle w:val="Hyperlink"/>
                <w:noProof/>
              </w:rPr>
              <w:t>Acceptable spill frequency</w:t>
            </w:r>
            <w:r>
              <w:rPr>
                <w:noProof/>
                <w:webHidden/>
              </w:rPr>
              <w:tab/>
            </w:r>
            <w:r>
              <w:rPr>
                <w:noProof/>
                <w:webHidden/>
              </w:rPr>
              <w:fldChar w:fldCharType="begin"/>
            </w:r>
            <w:r>
              <w:rPr>
                <w:noProof/>
                <w:webHidden/>
              </w:rPr>
              <w:instrText xml:space="preserve"> PAGEREF _Toc178862621 \h </w:instrText>
            </w:r>
            <w:r>
              <w:rPr>
                <w:noProof/>
                <w:webHidden/>
              </w:rPr>
            </w:r>
            <w:r>
              <w:rPr>
                <w:noProof/>
                <w:webHidden/>
              </w:rPr>
              <w:fldChar w:fldCharType="separate"/>
            </w:r>
            <w:r>
              <w:rPr>
                <w:noProof/>
                <w:webHidden/>
              </w:rPr>
              <w:t>15</w:t>
            </w:r>
            <w:r>
              <w:rPr>
                <w:noProof/>
                <w:webHidden/>
              </w:rPr>
              <w:fldChar w:fldCharType="end"/>
            </w:r>
          </w:hyperlink>
        </w:p>
        <w:p w14:paraId="48A63E05" w14:textId="3541D059" w:rsidR="00AB6A41" w:rsidRDefault="00AB6A41">
          <w:pPr>
            <w:pStyle w:val="TOC3"/>
            <w:tabs>
              <w:tab w:val="left" w:pos="1440"/>
              <w:tab w:val="right" w:leader="dot" w:pos="10212"/>
            </w:tabs>
            <w:rPr>
              <w:noProof/>
              <w:kern w:val="2"/>
              <w:lang w:eastAsia="en-GB"/>
              <w14:ligatures w14:val="standardContextual"/>
            </w:rPr>
          </w:pPr>
          <w:hyperlink w:anchor="_Toc178862622" w:history="1">
            <w:r w:rsidRPr="00645B47">
              <w:rPr>
                <w:rStyle w:val="Hyperlink"/>
                <w:noProof/>
              </w:rPr>
              <w:t>4.2.5</w:t>
            </w:r>
            <w:r>
              <w:rPr>
                <w:noProof/>
                <w:kern w:val="2"/>
                <w:lang w:eastAsia="en-GB"/>
                <w14:ligatures w14:val="standardContextual"/>
              </w:rPr>
              <w:tab/>
            </w:r>
            <w:r w:rsidRPr="00645B47">
              <w:rPr>
                <w:rStyle w:val="Hyperlink"/>
                <w:noProof/>
              </w:rPr>
              <w:t>Outfall location</w:t>
            </w:r>
            <w:r>
              <w:rPr>
                <w:noProof/>
                <w:webHidden/>
              </w:rPr>
              <w:tab/>
            </w:r>
            <w:r>
              <w:rPr>
                <w:noProof/>
                <w:webHidden/>
              </w:rPr>
              <w:fldChar w:fldCharType="begin"/>
            </w:r>
            <w:r>
              <w:rPr>
                <w:noProof/>
                <w:webHidden/>
              </w:rPr>
              <w:instrText xml:space="preserve"> PAGEREF _Toc178862622 \h </w:instrText>
            </w:r>
            <w:r>
              <w:rPr>
                <w:noProof/>
                <w:webHidden/>
              </w:rPr>
            </w:r>
            <w:r>
              <w:rPr>
                <w:noProof/>
                <w:webHidden/>
              </w:rPr>
              <w:fldChar w:fldCharType="separate"/>
            </w:r>
            <w:r>
              <w:rPr>
                <w:noProof/>
                <w:webHidden/>
              </w:rPr>
              <w:t>17</w:t>
            </w:r>
            <w:r>
              <w:rPr>
                <w:noProof/>
                <w:webHidden/>
              </w:rPr>
              <w:fldChar w:fldCharType="end"/>
            </w:r>
          </w:hyperlink>
        </w:p>
        <w:p w14:paraId="2CA628E0" w14:textId="2CE82A52" w:rsidR="00AB6A41" w:rsidRDefault="00AB6A41">
          <w:pPr>
            <w:pStyle w:val="TOC2"/>
            <w:tabs>
              <w:tab w:val="left" w:pos="960"/>
              <w:tab w:val="right" w:leader="dot" w:pos="10212"/>
            </w:tabs>
            <w:rPr>
              <w:noProof/>
              <w:kern w:val="2"/>
              <w:lang w:eastAsia="en-GB"/>
              <w14:ligatures w14:val="standardContextual"/>
            </w:rPr>
          </w:pPr>
          <w:hyperlink w:anchor="_Toc178862623" w:history="1">
            <w:r w:rsidRPr="00645B47">
              <w:rPr>
                <w:rStyle w:val="Hyperlink"/>
                <w:noProof/>
              </w:rPr>
              <w:t>4.3</w:t>
            </w:r>
            <w:r>
              <w:rPr>
                <w:noProof/>
                <w:kern w:val="2"/>
                <w:lang w:eastAsia="en-GB"/>
                <w14:ligatures w14:val="standardContextual"/>
              </w:rPr>
              <w:tab/>
            </w:r>
            <w:r w:rsidRPr="00645B47">
              <w:rPr>
                <w:rStyle w:val="Hyperlink"/>
                <w:noProof/>
              </w:rPr>
              <w:t>Minimum screening requirements for CSOs</w:t>
            </w:r>
            <w:r>
              <w:rPr>
                <w:noProof/>
                <w:webHidden/>
              </w:rPr>
              <w:tab/>
            </w:r>
            <w:r>
              <w:rPr>
                <w:noProof/>
                <w:webHidden/>
              </w:rPr>
              <w:fldChar w:fldCharType="begin"/>
            </w:r>
            <w:r>
              <w:rPr>
                <w:noProof/>
                <w:webHidden/>
              </w:rPr>
              <w:instrText xml:space="preserve"> PAGEREF _Toc178862623 \h </w:instrText>
            </w:r>
            <w:r>
              <w:rPr>
                <w:noProof/>
                <w:webHidden/>
              </w:rPr>
            </w:r>
            <w:r>
              <w:rPr>
                <w:noProof/>
                <w:webHidden/>
              </w:rPr>
              <w:fldChar w:fldCharType="separate"/>
            </w:r>
            <w:r>
              <w:rPr>
                <w:noProof/>
                <w:webHidden/>
              </w:rPr>
              <w:t>17</w:t>
            </w:r>
            <w:r>
              <w:rPr>
                <w:noProof/>
                <w:webHidden/>
              </w:rPr>
              <w:fldChar w:fldCharType="end"/>
            </w:r>
          </w:hyperlink>
        </w:p>
        <w:p w14:paraId="7D7AD1CB" w14:textId="32524CA5" w:rsidR="00AB6A41" w:rsidRDefault="00AB6A41">
          <w:pPr>
            <w:pStyle w:val="TOC3"/>
            <w:tabs>
              <w:tab w:val="left" w:pos="1440"/>
              <w:tab w:val="right" w:leader="dot" w:pos="10212"/>
            </w:tabs>
            <w:rPr>
              <w:noProof/>
              <w:kern w:val="2"/>
              <w:lang w:eastAsia="en-GB"/>
              <w14:ligatures w14:val="standardContextual"/>
            </w:rPr>
          </w:pPr>
          <w:hyperlink w:anchor="_Toc178862624" w:history="1">
            <w:r w:rsidRPr="00645B47">
              <w:rPr>
                <w:rStyle w:val="Hyperlink"/>
                <w:noProof/>
              </w:rPr>
              <w:t>4.3.1</w:t>
            </w:r>
            <w:r>
              <w:rPr>
                <w:noProof/>
                <w:kern w:val="2"/>
                <w:lang w:eastAsia="en-GB"/>
                <w14:ligatures w14:val="standardContextual"/>
              </w:rPr>
              <w:tab/>
            </w:r>
            <w:r w:rsidRPr="00645B47">
              <w:rPr>
                <w:rStyle w:val="Hyperlink"/>
                <w:noProof/>
              </w:rPr>
              <w:t>Screens required for high amenity locations</w:t>
            </w:r>
            <w:r>
              <w:rPr>
                <w:noProof/>
                <w:webHidden/>
              </w:rPr>
              <w:tab/>
            </w:r>
            <w:r>
              <w:rPr>
                <w:noProof/>
                <w:webHidden/>
              </w:rPr>
              <w:fldChar w:fldCharType="begin"/>
            </w:r>
            <w:r>
              <w:rPr>
                <w:noProof/>
                <w:webHidden/>
              </w:rPr>
              <w:instrText xml:space="preserve"> PAGEREF _Toc178862624 \h </w:instrText>
            </w:r>
            <w:r>
              <w:rPr>
                <w:noProof/>
                <w:webHidden/>
              </w:rPr>
            </w:r>
            <w:r>
              <w:rPr>
                <w:noProof/>
                <w:webHidden/>
              </w:rPr>
              <w:fldChar w:fldCharType="separate"/>
            </w:r>
            <w:r>
              <w:rPr>
                <w:noProof/>
                <w:webHidden/>
              </w:rPr>
              <w:t>18</w:t>
            </w:r>
            <w:r>
              <w:rPr>
                <w:noProof/>
                <w:webHidden/>
              </w:rPr>
              <w:fldChar w:fldCharType="end"/>
            </w:r>
          </w:hyperlink>
        </w:p>
        <w:p w14:paraId="6BCF5054" w14:textId="093830BE" w:rsidR="00AB6A41" w:rsidRDefault="00AB6A41">
          <w:pPr>
            <w:pStyle w:val="TOC3"/>
            <w:tabs>
              <w:tab w:val="left" w:pos="1440"/>
              <w:tab w:val="right" w:leader="dot" w:pos="10212"/>
            </w:tabs>
            <w:rPr>
              <w:noProof/>
              <w:kern w:val="2"/>
              <w:lang w:eastAsia="en-GB"/>
              <w14:ligatures w14:val="standardContextual"/>
            </w:rPr>
          </w:pPr>
          <w:hyperlink w:anchor="_Toc178862625" w:history="1">
            <w:r w:rsidRPr="00645B47">
              <w:rPr>
                <w:rStyle w:val="Hyperlink"/>
                <w:noProof/>
              </w:rPr>
              <w:t>4.3.2</w:t>
            </w:r>
            <w:r>
              <w:rPr>
                <w:noProof/>
                <w:kern w:val="2"/>
                <w:lang w:eastAsia="en-GB"/>
                <w14:ligatures w14:val="standardContextual"/>
              </w:rPr>
              <w:tab/>
            </w:r>
            <w:r w:rsidRPr="00645B47">
              <w:rPr>
                <w:rStyle w:val="Hyperlink"/>
                <w:noProof/>
              </w:rPr>
              <w:t>Screens required for moderate amenity locations</w:t>
            </w:r>
            <w:r>
              <w:rPr>
                <w:noProof/>
                <w:webHidden/>
              </w:rPr>
              <w:tab/>
            </w:r>
            <w:r>
              <w:rPr>
                <w:noProof/>
                <w:webHidden/>
              </w:rPr>
              <w:fldChar w:fldCharType="begin"/>
            </w:r>
            <w:r>
              <w:rPr>
                <w:noProof/>
                <w:webHidden/>
              </w:rPr>
              <w:instrText xml:space="preserve"> PAGEREF _Toc178862625 \h </w:instrText>
            </w:r>
            <w:r>
              <w:rPr>
                <w:noProof/>
                <w:webHidden/>
              </w:rPr>
            </w:r>
            <w:r>
              <w:rPr>
                <w:noProof/>
                <w:webHidden/>
              </w:rPr>
              <w:fldChar w:fldCharType="separate"/>
            </w:r>
            <w:r>
              <w:rPr>
                <w:noProof/>
                <w:webHidden/>
              </w:rPr>
              <w:t>19</w:t>
            </w:r>
            <w:r>
              <w:rPr>
                <w:noProof/>
                <w:webHidden/>
              </w:rPr>
              <w:fldChar w:fldCharType="end"/>
            </w:r>
          </w:hyperlink>
        </w:p>
        <w:p w14:paraId="0B49A2D3" w14:textId="628C5F75" w:rsidR="00AB6A41" w:rsidRDefault="00AB6A41">
          <w:pPr>
            <w:pStyle w:val="TOC3"/>
            <w:tabs>
              <w:tab w:val="left" w:pos="1440"/>
              <w:tab w:val="right" w:leader="dot" w:pos="10212"/>
            </w:tabs>
            <w:rPr>
              <w:noProof/>
              <w:kern w:val="2"/>
              <w:lang w:eastAsia="en-GB"/>
              <w14:ligatures w14:val="standardContextual"/>
            </w:rPr>
          </w:pPr>
          <w:hyperlink w:anchor="_Toc178862626" w:history="1">
            <w:r w:rsidRPr="00645B47">
              <w:rPr>
                <w:rStyle w:val="Hyperlink"/>
                <w:noProof/>
              </w:rPr>
              <w:t>4.3.3</w:t>
            </w:r>
            <w:r>
              <w:rPr>
                <w:noProof/>
                <w:kern w:val="2"/>
                <w:lang w:eastAsia="en-GB"/>
                <w14:ligatures w14:val="standardContextual"/>
              </w:rPr>
              <w:tab/>
            </w:r>
            <w:r w:rsidRPr="00645B47">
              <w:rPr>
                <w:rStyle w:val="Hyperlink"/>
                <w:noProof/>
              </w:rPr>
              <w:t>Screens required for low amenity locations</w:t>
            </w:r>
            <w:r>
              <w:rPr>
                <w:noProof/>
                <w:webHidden/>
              </w:rPr>
              <w:tab/>
            </w:r>
            <w:r>
              <w:rPr>
                <w:noProof/>
                <w:webHidden/>
              </w:rPr>
              <w:fldChar w:fldCharType="begin"/>
            </w:r>
            <w:r>
              <w:rPr>
                <w:noProof/>
                <w:webHidden/>
              </w:rPr>
              <w:instrText xml:space="preserve"> PAGEREF _Toc178862626 \h </w:instrText>
            </w:r>
            <w:r>
              <w:rPr>
                <w:noProof/>
                <w:webHidden/>
              </w:rPr>
            </w:r>
            <w:r>
              <w:rPr>
                <w:noProof/>
                <w:webHidden/>
              </w:rPr>
              <w:fldChar w:fldCharType="separate"/>
            </w:r>
            <w:r>
              <w:rPr>
                <w:noProof/>
                <w:webHidden/>
              </w:rPr>
              <w:t>19</w:t>
            </w:r>
            <w:r>
              <w:rPr>
                <w:noProof/>
                <w:webHidden/>
              </w:rPr>
              <w:fldChar w:fldCharType="end"/>
            </w:r>
          </w:hyperlink>
        </w:p>
        <w:p w14:paraId="22F83951" w14:textId="5AF40C67" w:rsidR="00AB6A41" w:rsidRDefault="00AB6A41">
          <w:pPr>
            <w:pStyle w:val="TOC3"/>
            <w:tabs>
              <w:tab w:val="left" w:pos="1440"/>
              <w:tab w:val="right" w:leader="dot" w:pos="10212"/>
            </w:tabs>
            <w:rPr>
              <w:noProof/>
              <w:kern w:val="2"/>
              <w:lang w:eastAsia="en-GB"/>
              <w14:ligatures w14:val="standardContextual"/>
            </w:rPr>
          </w:pPr>
          <w:hyperlink w:anchor="_Toc178862627" w:history="1">
            <w:r w:rsidRPr="00645B47">
              <w:rPr>
                <w:rStyle w:val="Hyperlink"/>
                <w:noProof/>
              </w:rPr>
              <w:t>4.3.4</w:t>
            </w:r>
            <w:r>
              <w:rPr>
                <w:noProof/>
                <w:kern w:val="2"/>
                <w:lang w:eastAsia="en-GB"/>
                <w14:ligatures w14:val="standardContextual"/>
              </w:rPr>
              <w:tab/>
            </w:r>
            <w:r w:rsidRPr="00645B47">
              <w:rPr>
                <w:rStyle w:val="Hyperlink"/>
                <w:noProof/>
              </w:rPr>
              <w:t>Screens required for non-amenity locations</w:t>
            </w:r>
            <w:r>
              <w:rPr>
                <w:noProof/>
                <w:webHidden/>
              </w:rPr>
              <w:tab/>
            </w:r>
            <w:r>
              <w:rPr>
                <w:noProof/>
                <w:webHidden/>
              </w:rPr>
              <w:fldChar w:fldCharType="begin"/>
            </w:r>
            <w:r>
              <w:rPr>
                <w:noProof/>
                <w:webHidden/>
              </w:rPr>
              <w:instrText xml:space="preserve"> PAGEREF _Toc178862627 \h </w:instrText>
            </w:r>
            <w:r>
              <w:rPr>
                <w:noProof/>
                <w:webHidden/>
              </w:rPr>
            </w:r>
            <w:r>
              <w:rPr>
                <w:noProof/>
                <w:webHidden/>
              </w:rPr>
              <w:fldChar w:fldCharType="separate"/>
            </w:r>
            <w:r>
              <w:rPr>
                <w:noProof/>
                <w:webHidden/>
              </w:rPr>
              <w:t>20</w:t>
            </w:r>
            <w:r>
              <w:rPr>
                <w:noProof/>
                <w:webHidden/>
              </w:rPr>
              <w:fldChar w:fldCharType="end"/>
            </w:r>
          </w:hyperlink>
        </w:p>
        <w:p w14:paraId="27BBA8E7" w14:textId="6C9DDDC3" w:rsidR="00AB6A41" w:rsidRDefault="00AB6A41">
          <w:pPr>
            <w:pStyle w:val="TOC3"/>
            <w:tabs>
              <w:tab w:val="left" w:pos="1440"/>
              <w:tab w:val="right" w:leader="dot" w:pos="10212"/>
            </w:tabs>
            <w:rPr>
              <w:noProof/>
              <w:kern w:val="2"/>
              <w:lang w:eastAsia="en-GB"/>
              <w14:ligatures w14:val="standardContextual"/>
            </w:rPr>
          </w:pPr>
          <w:hyperlink w:anchor="_Toc178862628" w:history="1">
            <w:r w:rsidRPr="00645B47">
              <w:rPr>
                <w:rStyle w:val="Hyperlink"/>
                <w:noProof/>
              </w:rPr>
              <w:t>4.3.5</w:t>
            </w:r>
            <w:r>
              <w:rPr>
                <w:noProof/>
                <w:kern w:val="2"/>
                <w:lang w:eastAsia="en-GB"/>
                <w14:ligatures w14:val="standardContextual"/>
              </w:rPr>
              <w:tab/>
            </w:r>
            <w:r w:rsidRPr="00645B47">
              <w:rPr>
                <w:rStyle w:val="Hyperlink"/>
                <w:noProof/>
              </w:rPr>
              <w:t>Screens required for existing CSOs</w:t>
            </w:r>
            <w:r>
              <w:rPr>
                <w:noProof/>
                <w:webHidden/>
              </w:rPr>
              <w:tab/>
            </w:r>
            <w:r>
              <w:rPr>
                <w:noProof/>
                <w:webHidden/>
              </w:rPr>
              <w:fldChar w:fldCharType="begin"/>
            </w:r>
            <w:r>
              <w:rPr>
                <w:noProof/>
                <w:webHidden/>
              </w:rPr>
              <w:instrText xml:space="preserve"> PAGEREF _Toc178862628 \h </w:instrText>
            </w:r>
            <w:r>
              <w:rPr>
                <w:noProof/>
                <w:webHidden/>
              </w:rPr>
            </w:r>
            <w:r>
              <w:rPr>
                <w:noProof/>
                <w:webHidden/>
              </w:rPr>
              <w:fldChar w:fldCharType="separate"/>
            </w:r>
            <w:r>
              <w:rPr>
                <w:noProof/>
                <w:webHidden/>
              </w:rPr>
              <w:t>20</w:t>
            </w:r>
            <w:r>
              <w:rPr>
                <w:noProof/>
                <w:webHidden/>
              </w:rPr>
              <w:fldChar w:fldCharType="end"/>
            </w:r>
          </w:hyperlink>
        </w:p>
        <w:p w14:paraId="654B5C8A" w14:textId="124C47D7" w:rsidR="00AB6A41" w:rsidRDefault="00AB6A41">
          <w:pPr>
            <w:pStyle w:val="TOC2"/>
            <w:tabs>
              <w:tab w:val="left" w:pos="960"/>
              <w:tab w:val="right" w:leader="dot" w:pos="10212"/>
            </w:tabs>
            <w:rPr>
              <w:noProof/>
              <w:kern w:val="2"/>
              <w:lang w:eastAsia="en-GB"/>
              <w14:ligatures w14:val="standardContextual"/>
            </w:rPr>
          </w:pPr>
          <w:hyperlink w:anchor="_Toc178862629" w:history="1">
            <w:r w:rsidRPr="00645B47">
              <w:rPr>
                <w:rStyle w:val="Hyperlink"/>
                <w:noProof/>
              </w:rPr>
              <w:t>4.4</w:t>
            </w:r>
            <w:r>
              <w:rPr>
                <w:noProof/>
                <w:kern w:val="2"/>
                <w:lang w:eastAsia="en-GB"/>
                <w14:ligatures w14:val="standardContextual"/>
              </w:rPr>
              <w:tab/>
            </w:r>
            <w:r w:rsidRPr="00645B47">
              <w:rPr>
                <w:rStyle w:val="Hyperlink"/>
                <w:noProof/>
              </w:rPr>
              <w:t>Maintenance requirements for CSO screens</w:t>
            </w:r>
            <w:r>
              <w:rPr>
                <w:noProof/>
                <w:webHidden/>
              </w:rPr>
              <w:tab/>
            </w:r>
            <w:r>
              <w:rPr>
                <w:noProof/>
                <w:webHidden/>
              </w:rPr>
              <w:fldChar w:fldCharType="begin"/>
            </w:r>
            <w:r>
              <w:rPr>
                <w:noProof/>
                <w:webHidden/>
              </w:rPr>
              <w:instrText xml:space="preserve"> PAGEREF _Toc178862629 \h </w:instrText>
            </w:r>
            <w:r>
              <w:rPr>
                <w:noProof/>
                <w:webHidden/>
              </w:rPr>
            </w:r>
            <w:r>
              <w:rPr>
                <w:noProof/>
                <w:webHidden/>
              </w:rPr>
              <w:fldChar w:fldCharType="separate"/>
            </w:r>
            <w:r>
              <w:rPr>
                <w:noProof/>
                <w:webHidden/>
              </w:rPr>
              <w:t>20</w:t>
            </w:r>
            <w:r>
              <w:rPr>
                <w:noProof/>
                <w:webHidden/>
              </w:rPr>
              <w:fldChar w:fldCharType="end"/>
            </w:r>
          </w:hyperlink>
        </w:p>
        <w:p w14:paraId="172A03EF" w14:textId="2FF653DF" w:rsidR="00AB6A41" w:rsidRDefault="00AB6A41">
          <w:pPr>
            <w:pStyle w:val="TOC1"/>
            <w:tabs>
              <w:tab w:val="left" w:pos="480"/>
              <w:tab w:val="right" w:leader="dot" w:pos="10212"/>
            </w:tabs>
            <w:rPr>
              <w:noProof/>
              <w:kern w:val="2"/>
              <w:lang w:eastAsia="en-GB"/>
              <w14:ligatures w14:val="standardContextual"/>
            </w:rPr>
          </w:pPr>
          <w:hyperlink w:anchor="_Toc178862630" w:history="1">
            <w:r w:rsidRPr="00645B47">
              <w:rPr>
                <w:rStyle w:val="Hyperlink"/>
                <w:rFonts w:eastAsia="Times New Roman"/>
                <w:noProof/>
              </w:rPr>
              <w:t>5.</w:t>
            </w:r>
            <w:r>
              <w:rPr>
                <w:noProof/>
                <w:kern w:val="2"/>
                <w:lang w:eastAsia="en-GB"/>
                <w14:ligatures w14:val="standardContextual"/>
              </w:rPr>
              <w:tab/>
            </w:r>
            <w:r w:rsidRPr="00645B47">
              <w:rPr>
                <w:rStyle w:val="Hyperlink"/>
                <w:rFonts w:eastAsia="Times New Roman"/>
                <w:noProof/>
              </w:rPr>
              <w:t>Designing Storm tanks</w:t>
            </w:r>
            <w:r>
              <w:rPr>
                <w:noProof/>
                <w:webHidden/>
              </w:rPr>
              <w:tab/>
            </w:r>
            <w:r>
              <w:rPr>
                <w:noProof/>
                <w:webHidden/>
              </w:rPr>
              <w:fldChar w:fldCharType="begin"/>
            </w:r>
            <w:r>
              <w:rPr>
                <w:noProof/>
                <w:webHidden/>
              </w:rPr>
              <w:instrText xml:space="preserve"> PAGEREF _Toc178862630 \h </w:instrText>
            </w:r>
            <w:r>
              <w:rPr>
                <w:noProof/>
                <w:webHidden/>
              </w:rPr>
            </w:r>
            <w:r>
              <w:rPr>
                <w:noProof/>
                <w:webHidden/>
              </w:rPr>
              <w:fldChar w:fldCharType="separate"/>
            </w:r>
            <w:r>
              <w:rPr>
                <w:noProof/>
                <w:webHidden/>
              </w:rPr>
              <w:t>21</w:t>
            </w:r>
            <w:r>
              <w:rPr>
                <w:noProof/>
                <w:webHidden/>
              </w:rPr>
              <w:fldChar w:fldCharType="end"/>
            </w:r>
          </w:hyperlink>
        </w:p>
        <w:p w14:paraId="41E5AD95" w14:textId="6A0E96FB" w:rsidR="00AB6A41" w:rsidRDefault="00AB6A41">
          <w:pPr>
            <w:pStyle w:val="TOC2"/>
            <w:tabs>
              <w:tab w:val="left" w:pos="960"/>
              <w:tab w:val="right" w:leader="dot" w:pos="10212"/>
            </w:tabs>
            <w:rPr>
              <w:noProof/>
              <w:kern w:val="2"/>
              <w:lang w:eastAsia="en-GB"/>
              <w14:ligatures w14:val="standardContextual"/>
            </w:rPr>
          </w:pPr>
          <w:hyperlink w:anchor="_Toc178862631" w:history="1">
            <w:r w:rsidRPr="00645B47">
              <w:rPr>
                <w:rStyle w:val="Hyperlink"/>
                <w:noProof/>
              </w:rPr>
              <w:t>5.1</w:t>
            </w:r>
            <w:r>
              <w:rPr>
                <w:noProof/>
                <w:kern w:val="2"/>
                <w:lang w:eastAsia="en-GB"/>
                <w14:ligatures w14:val="standardContextual"/>
              </w:rPr>
              <w:tab/>
            </w:r>
            <w:r w:rsidRPr="00645B47">
              <w:rPr>
                <w:rStyle w:val="Hyperlink"/>
                <w:noProof/>
              </w:rPr>
              <w:t>Storm tank capacity</w:t>
            </w:r>
            <w:r>
              <w:rPr>
                <w:noProof/>
                <w:webHidden/>
              </w:rPr>
              <w:tab/>
            </w:r>
            <w:r>
              <w:rPr>
                <w:noProof/>
                <w:webHidden/>
              </w:rPr>
              <w:fldChar w:fldCharType="begin"/>
            </w:r>
            <w:r>
              <w:rPr>
                <w:noProof/>
                <w:webHidden/>
              </w:rPr>
              <w:instrText xml:space="preserve"> PAGEREF _Toc178862631 \h </w:instrText>
            </w:r>
            <w:r>
              <w:rPr>
                <w:noProof/>
                <w:webHidden/>
              </w:rPr>
            </w:r>
            <w:r>
              <w:rPr>
                <w:noProof/>
                <w:webHidden/>
              </w:rPr>
              <w:fldChar w:fldCharType="separate"/>
            </w:r>
            <w:r>
              <w:rPr>
                <w:noProof/>
                <w:webHidden/>
              </w:rPr>
              <w:t>21</w:t>
            </w:r>
            <w:r>
              <w:rPr>
                <w:noProof/>
                <w:webHidden/>
              </w:rPr>
              <w:fldChar w:fldCharType="end"/>
            </w:r>
          </w:hyperlink>
        </w:p>
        <w:p w14:paraId="23410B17" w14:textId="29F0A951" w:rsidR="00AB6A41" w:rsidRDefault="00AB6A41">
          <w:pPr>
            <w:pStyle w:val="TOC2"/>
            <w:tabs>
              <w:tab w:val="left" w:pos="960"/>
              <w:tab w:val="right" w:leader="dot" w:pos="10212"/>
            </w:tabs>
            <w:rPr>
              <w:noProof/>
              <w:kern w:val="2"/>
              <w:lang w:eastAsia="en-GB"/>
              <w14:ligatures w14:val="standardContextual"/>
            </w:rPr>
          </w:pPr>
          <w:hyperlink w:anchor="_Toc178862632" w:history="1">
            <w:r w:rsidRPr="00645B47">
              <w:rPr>
                <w:rStyle w:val="Hyperlink"/>
                <w:rFonts w:eastAsia="Times New Roman"/>
                <w:noProof/>
              </w:rPr>
              <w:t>5.2</w:t>
            </w:r>
            <w:r>
              <w:rPr>
                <w:noProof/>
                <w:kern w:val="2"/>
                <w:lang w:eastAsia="en-GB"/>
                <w14:ligatures w14:val="standardContextual"/>
              </w:rPr>
              <w:tab/>
            </w:r>
            <w:r w:rsidRPr="00645B47">
              <w:rPr>
                <w:rStyle w:val="Hyperlink"/>
                <w:rFonts w:eastAsia="Times New Roman"/>
                <w:noProof/>
              </w:rPr>
              <w:t>Storm tank configuration</w:t>
            </w:r>
            <w:r>
              <w:rPr>
                <w:noProof/>
                <w:webHidden/>
              </w:rPr>
              <w:tab/>
            </w:r>
            <w:r>
              <w:rPr>
                <w:noProof/>
                <w:webHidden/>
              </w:rPr>
              <w:fldChar w:fldCharType="begin"/>
            </w:r>
            <w:r>
              <w:rPr>
                <w:noProof/>
                <w:webHidden/>
              </w:rPr>
              <w:instrText xml:space="preserve"> PAGEREF _Toc178862632 \h </w:instrText>
            </w:r>
            <w:r>
              <w:rPr>
                <w:noProof/>
                <w:webHidden/>
              </w:rPr>
            </w:r>
            <w:r>
              <w:rPr>
                <w:noProof/>
                <w:webHidden/>
              </w:rPr>
              <w:fldChar w:fldCharType="separate"/>
            </w:r>
            <w:r>
              <w:rPr>
                <w:noProof/>
                <w:webHidden/>
              </w:rPr>
              <w:t>22</w:t>
            </w:r>
            <w:r>
              <w:rPr>
                <w:noProof/>
                <w:webHidden/>
              </w:rPr>
              <w:fldChar w:fldCharType="end"/>
            </w:r>
          </w:hyperlink>
        </w:p>
        <w:p w14:paraId="115342A8" w14:textId="7A625CB0" w:rsidR="00AB6A41" w:rsidRDefault="00AB6A41">
          <w:pPr>
            <w:pStyle w:val="TOC1"/>
            <w:tabs>
              <w:tab w:val="left" w:pos="480"/>
              <w:tab w:val="right" w:leader="dot" w:pos="10212"/>
            </w:tabs>
            <w:rPr>
              <w:noProof/>
              <w:kern w:val="2"/>
              <w:lang w:eastAsia="en-GB"/>
              <w14:ligatures w14:val="standardContextual"/>
            </w:rPr>
          </w:pPr>
          <w:hyperlink w:anchor="_Toc178862633" w:history="1">
            <w:r w:rsidRPr="00645B47">
              <w:rPr>
                <w:rStyle w:val="Hyperlink"/>
                <w:rFonts w:eastAsia="Times New Roman"/>
                <w:noProof/>
              </w:rPr>
              <w:t>6.</w:t>
            </w:r>
            <w:r>
              <w:rPr>
                <w:noProof/>
                <w:kern w:val="2"/>
                <w:lang w:eastAsia="en-GB"/>
                <w14:ligatures w14:val="standardContextual"/>
              </w:rPr>
              <w:tab/>
            </w:r>
            <w:r w:rsidRPr="00645B47">
              <w:rPr>
                <w:rStyle w:val="Hyperlink"/>
                <w:rFonts w:eastAsia="Times New Roman"/>
                <w:noProof/>
              </w:rPr>
              <w:t>Pumping station EOs</w:t>
            </w:r>
            <w:r>
              <w:rPr>
                <w:noProof/>
                <w:webHidden/>
              </w:rPr>
              <w:tab/>
            </w:r>
            <w:r>
              <w:rPr>
                <w:noProof/>
                <w:webHidden/>
              </w:rPr>
              <w:fldChar w:fldCharType="begin"/>
            </w:r>
            <w:r>
              <w:rPr>
                <w:noProof/>
                <w:webHidden/>
              </w:rPr>
              <w:instrText xml:space="preserve"> PAGEREF _Toc178862633 \h </w:instrText>
            </w:r>
            <w:r>
              <w:rPr>
                <w:noProof/>
                <w:webHidden/>
              </w:rPr>
            </w:r>
            <w:r>
              <w:rPr>
                <w:noProof/>
                <w:webHidden/>
              </w:rPr>
              <w:fldChar w:fldCharType="separate"/>
            </w:r>
            <w:r>
              <w:rPr>
                <w:noProof/>
                <w:webHidden/>
              </w:rPr>
              <w:t>23</w:t>
            </w:r>
            <w:r>
              <w:rPr>
                <w:noProof/>
                <w:webHidden/>
              </w:rPr>
              <w:fldChar w:fldCharType="end"/>
            </w:r>
          </w:hyperlink>
        </w:p>
        <w:p w14:paraId="4230DD94" w14:textId="1CA8EA49" w:rsidR="00AB6A41" w:rsidRDefault="00AB6A41">
          <w:pPr>
            <w:pStyle w:val="TOC1"/>
            <w:tabs>
              <w:tab w:val="left" w:pos="480"/>
              <w:tab w:val="right" w:leader="dot" w:pos="10212"/>
            </w:tabs>
            <w:rPr>
              <w:noProof/>
              <w:kern w:val="2"/>
              <w:lang w:eastAsia="en-GB"/>
              <w14:ligatures w14:val="standardContextual"/>
            </w:rPr>
          </w:pPr>
          <w:hyperlink w:anchor="_Toc178862634" w:history="1">
            <w:r w:rsidRPr="00645B47">
              <w:rPr>
                <w:rStyle w:val="Hyperlink"/>
                <w:rFonts w:eastAsia="Times New Roman"/>
                <w:noProof/>
              </w:rPr>
              <w:t>7.</w:t>
            </w:r>
            <w:r>
              <w:rPr>
                <w:noProof/>
                <w:kern w:val="2"/>
                <w:lang w:eastAsia="en-GB"/>
                <w14:ligatures w14:val="standardContextual"/>
              </w:rPr>
              <w:tab/>
            </w:r>
            <w:r w:rsidRPr="00645B47">
              <w:rPr>
                <w:rStyle w:val="Hyperlink"/>
                <w:rFonts w:eastAsia="Times New Roman"/>
                <w:noProof/>
              </w:rPr>
              <w:t>Monitoring and telemetry requirements</w:t>
            </w:r>
            <w:r>
              <w:rPr>
                <w:noProof/>
                <w:webHidden/>
              </w:rPr>
              <w:tab/>
            </w:r>
            <w:r>
              <w:rPr>
                <w:noProof/>
                <w:webHidden/>
              </w:rPr>
              <w:fldChar w:fldCharType="begin"/>
            </w:r>
            <w:r>
              <w:rPr>
                <w:noProof/>
                <w:webHidden/>
              </w:rPr>
              <w:instrText xml:space="preserve"> PAGEREF _Toc178862634 \h </w:instrText>
            </w:r>
            <w:r>
              <w:rPr>
                <w:noProof/>
                <w:webHidden/>
              </w:rPr>
            </w:r>
            <w:r>
              <w:rPr>
                <w:noProof/>
                <w:webHidden/>
              </w:rPr>
              <w:fldChar w:fldCharType="separate"/>
            </w:r>
            <w:r>
              <w:rPr>
                <w:noProof/>
                <w:webHidden/>
              </w:rPr>
              <w:t>24</w:t>
            </w:r>
            <w:r>
              <w:rPr>
                <w:noProof/>
                <w:webHidden/>
              </w:rPr>
              <w:fldChar w:fldCharType="end"/>
            </w:r>
          </w:hyperlink>
        </w:p>
        <w:p w14:paraId="67B15998" w14:textId="7A988DC0" w:rsidR="00AB6A41" w:rsidRDefault="00AB6A41">
          <w:pPr>
            <w:pStyle w:val="TOC2"/>
            <w:tabs>
              <w:tab w:val="left" w:pos="960"/>
              <w:tab w:val="right" w:leader="dot" w:pos="10212"/>
            </w:tabs>
            <w:rPr>
              <w:noProof/>
              <w:kern w:val="2"/>
              <w:lang w:eastAsia="en-GB"/>
              <w14:ligatures w14:val="standardContextual"/>
            </w:rPr>
          </w:pPr>
          <w:hyperlink w:anchor="_Toc178862635" w:history="1">
            <w:r w:rsidRPr="00645B47">
              <w:rPr>
                <w:rStyle w:val="Hyperlink"/>
                <w:noProof/>
              </w:rPr>
              <w:t>7.1</w:t>
            </w:r>
            <w:r>
              <w:rPr>
                <w:noProof/>
                <w:kern w:val="2"/>
                <w:lang w:eastAsia="en-GB"/>
                <w14:ligatures w14:val="standardContextual"/>
              </w:rPr>
              <w:tab/>
            </w:r>
            <w:r w:rsidRPr="00645B47">
              <w:rPr>
                <w:rStyle w:val="Hyperlink"/>
                <w:noProof/>
              </w:rPr>
              <w:t>Screen monitoring/telemetry</w:t>
            </w:r>
            <w:r>
              <w:rPr>
                <w:noProof/>
                <w:webHidden/>
              </w:rPr>
              <w:tab/>
            </w:r>
            <w:r>
              <w:rPr>
                <w:noProof/>
                <w:webHidden/>
              </w:rPr>
              <w:fldChar w:fldCharType="begin"/>
            </w:r>
            <w:r>
              <w:rPr>
                <w:noProof/>
                <w:webHidden/>
              </w:rPr>
              <w:instrText xml:space="preserve"> PAGEREF _Toc178862635 \h </w:instrText>
            </w:r>
            <w:r>
              <w:rPr>
                <w:noProof/>
                <w:webHidden/>
              </w:rPr>
            </w:r>
            <w:r>
              <w:rPr>
                <w:noProof/>
                <w:webHidden/>
              </w:rPr>
              <w:fldChar w:fldCharType="separate"/>
            </w:r>
            <w:r>
              <w:rPr>
                <w:noProof/>
                <w:webHidden/>
              </w:rPr>
              <w:t>24</w:t>
            </w:r>
            <w:r>
              <w:rPr>
                <w:noProof/>
                <w:webHidden/>
              </w:rPr>
              <w:fldChar w:fldCharType="end"/>
            </w:r>
          </w:hyperlink>
        </w:p>
        <w:p w14:paraId="19C70C77" w14:textId="5581FC6E" w:rsidR="00AB6A41" w:rsidRDefault="00AB6A41">
          <w:pPr>
            <w:pStyle w:val="TOC2"/>
            <w:tabs>
              <w:tab w:val="left" w:pos="960"/>
              <w:tab w:val="right" w:leader="dot" w:pos="10212"/>
            </w:tabs>
            <w:rPr>
              <w:noProof/>
              <w:kern w:val="2"/>
              <w:lang w:eastAsia="en-GB"/>
              <w14:ligatures w14:val="standardContextual"/>
            </w:rPr>
          </w:pPr>
          <w:hyperlink w:anchor="_Toc178862636" w:history="1">
            <w:r w:rsidRPr="00645B47">
              <w:rPr>
                <w:rStyle w:val="Hyperlink"/>
                <w:noProof/>
              </w:rPr>
              <w:t>7.2</w:t>
            </w:r>
            <w:r>
              <w:rPr>
                <w:noProof/>
                <w:kern w:val="2"/>
                <w:lang w:eastAsia="en-GB"/>
                <w14:ligatures w14:val="standardContextual"/>
              </w:rPr>
              <w:tab/>
            </w:r>
            <w:r w:rsidRPr="00645B47">
              <w:rPr>
                <w:rStyle w:val="Hyperlink"/>
                <w:noProof/>
              </w:rPr>
              <w:t>Overflow monitoring/telemetry</w:t>
            </w:r>
            <w:r>
              <w:rPr>
                <w:noProof/>
                <w:webHidden/>
              </w:rPr>
              <w:tab/>
            </w:r>
            <w:r>
              <w:rPr>
                <w:noProof/>
                <w:webHidden/>
              </w:rPr>
              <w:fldChar w:fldCharType="begin"/>
            </w:r>
            <w:r>
              <w:rPr>
                <w:noProof/>
                <w:webHidden/>
              </w:rPr>
              <w:instrText xml:space="preserve"> PAGEREF _Toc178862636 \h </w:instrText>
            </w:r>
            <w:r>
              <w:rPr>
                <w:noProof/>
                <w:webHidden/>
              </w:rPr>
            </w:r>
            <w:r>
              <w:rPr>
                <w:noProof/>
                <w:webHidden/>
              </w:rPr>
              <w:fldChar w:fldCharType="separate"/>
            </w:r>
            <w:r>
              <w:rPr>
                <w:noProof/>
                <w:webHidden/>
              </w:rPr>
              <w:t>25</w:t>
            </w:r>
            <w:r>
              <w:rPr>
                <w:noProof/>
                <w:webHidden/>
              </w:rPr>
              <w:fldChar w:fldCharType="end"/>
            </w:r>
          </w:hyperlink>
        </w:p>
        <w:p w14:paraId="0435E875" w14:textId="7E5369FD" w:rsidR="00AB6A41" w:rsidRDefault="00AB6A41">
          <w:pPr>
            <w:pStyle w:val="TOC3"/>
            <w:tabs>
              <w:tab w:val="left" w:pos="1440"/>
              <w:tab w:val="right" w:leader="dot" w:pos="10212"/>
            </w:tabs>
            <w:rPr>
              <w:noProof/>
              <w:kern w:val="2"/>
              <w:lang w:eastAsia="en-GB"/>
              <w14:ligatures w14:val="standardContextual"/>
            </w:rPr>
          </w:pPr>
          <w:hyperlink w:anchor="_Toc178862637" w:history="1">
            <w:r w:rsidRPr="00645B47">
              <w:rPr>
                <w:rStyle w:val="Hyperlink"/>
                <w:noProof/>
              </w:rPr>
              <w:t>7.2.1</w:t>
            </w:r>
            <w:r>
              <w:rPr>
                <w:noProof/>
                <w:kern w:val="2"/>
                <w:lang w:eastAsia="en-GB"/>
                <w14:ligatures w14:val="standardContextual"/>
              </w:rPr>
              <w:tab/>
            </w:r>
            <w:r w:rsidRPr="00645B47">
              <w:rPr>
                <w:rStyle w:val="Hyperlink"/>
                <w:noProof/>
              </w:rPr>
              <w:t>Event Monitoring</w:t>
            </w:r>
            <w:r>
              <w:rPr>
                <w:noProof/>
                <w:webHidden/>
              </w:rPr>
              <w:tab/>
            </w:r>
            <w:r>
              <w:rPr>
                <w:noProof/>
                <w:webHidden/>
              </w:rPr>
              <w:fldChar w:fldCharType="begin"/>
            </w:r>
            <w:r>
              <w:rPr>
                <w:noProof/>
                <w:webHidden/>
              </w:rPr>
              <w:instrText xml:space="preserve"> PAGEREF _Toc178862637 \h </w:instrText>
            </w:r>
            <w:r>
              <w:rPr>
                <w:noProof/>
                <w:webHidden/>
              </w:rPr>
            </w:r>
            <w:r>
              <w:rPr>
                <w:noProof/>
                <w:webHidden/>
              </w:rPr>
              <w:fldChar w:fldCharType="separate"/>
            </w:r>
            <w:r>
              <w:rPr>
                <w:noProof/>
                <w:webHidden/>
              </w:rPr>
              <w:t>25</w:t>
            </w:r>
            <w:r>
              <w:rPr>
                <w:noProof/>
                <w:webHidden/>
              </w:rPr>
              <w:fldChar w:fldCharType="end"/>
            </w:r>
          </w:hyperlink>
        </w:p>
        <w:p w14:paraId="23237EF6" w14:textId="258B5B22" w:rsidR="00AB6A41" w:rsidRDefault="00AB6A41">
          <w:pPr>
            <w:pStyle w:val="TOC3"/>
            <w:tabs>
              <w:tab w:val="left" w:pos="1440"/>
              <w:tab w:val="right" w:leader="dot" w:pos="10212"/>
            </w:tabs>
            <w:rPr>
              <w:noProof/>
              <w:kern w:val="2"/>
              <w:lang w:eastAsia="en-GB"/>
              <w14:ligatures w14:val="standardContextual"/>
            </w:rPr>
          </w:pPr>
          <w:hyperlink w:anchor="_Toc178862638" w:history="1">
            <w:r w:rsidRPr="00645B47">
              <w:rPr>
                <w:rStyle w:val="Hyperlink"/>
                <w:noProof/>
              </w:rPr>
              <w:t>7.2.2</w:t>
            </w:r>
            <w:r>
              <w:rPr>
                <w:noProof/>
                <w:kern w:val="2"/>
                <w:lang w:eastAsia="en-GB"/>
                <w14:ligatures w14:val="standardContextual"/>
              </w:rPr>
              <w:tab/>
            </w:r>
            <w:r w:rsidRPr="00645B47">
              <w:rPr>
                <w:rStyle w:val="Hyperlink"/>
                <w:noProof/>
              </w:rPr>
              <w:t>Flow Monitoring</w:t>
            </w:r>
            <w:r>
              <w:rPr>
                <w:noProof/>
                <w:webHidden/>
              </w:rPr>
              <w:tab/>
            </w:r>
            <w:r>
              <w:rPr>
                <w:noProof/>
                <w:webHidden/>
              </w:rPr>
              <w:fldChar w:fldCharType="begin"/>
            </w:r>
            <w:r>
              <w:rPr>
                <w:noProof/>
                <w:webHidden/>
              </w:rPr>
              <w:instrText xml:space="preserve"> PAGEREF _Toc178862638 \h </w:instrText>
            </w:r>
            <w:r>
              <w:rPr>
                <w:noProof/>
                <w:webHidden/>
              </w:rPr>
            </w:r>
            <w:r>
              <w:rPr>
                <w:noProof/>
                <w:webHidden/>
              </w:rPr>
              <w:fldChar w:fldCharType="separate"/>
            </w:r>
            <w:r>
              <w:rPr>
                <w:noProof/>
                <w:webHidden/>
              </w:rPr>
              <w:t>26</w:t>
            </w:r>
            <w:r>
              <w:rPr>
                <w:noProof/>
                <w:webHidden/>
              </w:rPr>
              <w:fldChar w:fldCharType="end"/>
            </w:r>
          </w:hyperlink>
        </w:p>
        <w:p w14:paraId="23CA6E86" w14:textId="04EFA26F" w:rsidR="00AB6A41" w:rsidRDefault="00AB6A41">
          <w:pPr>
            <w:pStyle w:val="TOC2"/>
            <w:tabs>
              <w:tab w:val="left" w:pos="960"/>
              <w:tab w:val="right" w:leader="dot" w:pos="10212"/>
            </w:tabs>
            <w:rPr>
              <w:noProof/>
              <w:kern w:val="2"/>
              <w:lang w:eastAsia="en-GB"/>
              <w14:ligatures w14:val="standardContextual"/>
            </w:rPr>
          </w:pPr>
          <w:hyperlink w:anchor="_Toc178862639" w:history="1">
            <w:r w:rsidRPr="00645B47">
              <w:rPr>
                <w:rStyle w:val="Hyperlink"/>
                <w:noProof/>
              </w:rPr>
              <w:t>7.3</w:t>
            </w:r>
            <w:r>
              <w:rPr>
                <w:noProof/>
                <w:kern w:val="2"/>
                <w:lang w:eastAsia="en-GB"/>
                <w14:ligatures w14:val="standardContextual"/>
              </w:rPr>
              <w:tab/>
            </w:r>
            <w:r w:rsidRPr="00645B47">
              <w:rPr>
                <w:rStyle w:val="Hyperlink"/>
                <w:noProof/>
              </w:rPr>
              <w:t>Sewage pumping station with storm overflows</w:t>
            </w:r>
            <w:r>
              <w:rPr>
                <w:noProof/>
                <w:webHidden/>
              </w:rPr>
              <w:tab/>
            </w:r>
            <w:r>
              <w:rPr>
                <w:noProof/>
                <w:webHidden/>
              </w:rPr>
              <w:fldChar w:fldCharType="begin"/>
            </w:r>
            <w:r>
              <w:rPr>
                <w:noProof/>
                <w:webHidden/>
              </w:rPr>
              <w:instrText xml:space="preserve"> PAGEREF _Toc178862639 \h </w:instrText>
            </w:r>
            <w:r>
              <w:rPr>
                <w:noProof/>
                <w:webHidden/>
              </w:rPr>
            </w:r>
            <w:r>
              <w:rPr>
                <w:noProof/>
                <w:webHidden/>
              </w:rPr>
              <w:fldChar w:fldCharType="separate"/>
            </w:r>
            <w:r>
              <w:rPr>
                <w:noProof/>
                <w:webHidden/>
              </w:rPr>
              <w:t>27</w:t>
            </w:r>
            <w:r>
              <w:rPr>
                <w:noProof/>
                <w:webHidden/>
              </w:rPr>
              <w:fldChar w:fldCharType="end"/>
            </w:r>
          </w:hyperlink>
        </w:p>
        <w:p w14:paraId="27FEC547" w14:textId="1A6D8655" w:rsidR="00AB6A41" w:rsidRDefault="00AB6A41">
          <w:pPr>
            <w:pStyle w:val="TOC2"/>
            <w:tabs>
              <w:tab w:val="left" w:pos="960"/>
              <w:tab w:val="right" w:leader="dot" w:pos="10212"/>
            </w:tabs>
            <w:rPr>
              <w:noProof/>
              <w:kern w:val="2"/>
              <w:lang w:eastAsia="en-GB"/>
              <w14:ligatures w14:val="standardContextual"/>
            </w:rPr>
          </w:pPr>
          <w:hyperlink w:anchor="_Toc178862640" w:history="1">
            <w:r w:rsidRPr="00645B47">
              <w:rPr>
                <w:rStyle w:val="Hyperlink"/>
                <w:noProof/>
              </w:rPr>
              <w:t>7.4</w:t>
            </w:r>
            <w:r>
              <w:rPr>
                <w:noProof/>
                <w:kern w:val="2"/>
                <w:lang w:eastAsia="en-GB"/>
                <w14:ligatures w14:val="standardContextual"/>
              </w:rPr>
              <w:tab/>
            </w:r>
            <w:r w:rsidRPr="00645B47">
              <w:rPr>
                <w:rStyle w:val="Hyperlink"/>
                <w:noProof/>
              </w:rPr>
              <w:t>Recording and reporting</w:t>
            </w:r>
            <w:r>
              <w:rPr>
                <w:noProof/>
                <w:webHidden/>
              </w:rPr>
              <w:tab/>
            </w:r>
            <w:r>
              <w:rPr>
                <w:noProof/>
                <w:webHidden/>
              </w:rPr>
              <w:fldChar w:fldCharType="begin"/>
            </w:r>
            <w:r>
              <w:rPr>
                <w:noProof/>
                <w:webHidden/>
              </w:rPr>
              <w:instrText xml:space="preserve"> PAGEREF _Toc178862640 \h </w:instrText>
            </w:r>
            <w:r>
              <w:rPr>
                <w:noProof/>
                <w:webHidden/>
              </w:rPr>
            </w:r>
            <w:r>
              <w:rPr>
                <w:noProof/>
                <w:webHidden/>
              </w:rPr>
              <w:fldChar w:fldCharType="separate"/>
            </w:r>
            <w:r>
              <w:rPr>
                <w:noProof/>
                <w:webHidden/>
              </w:rPr>
              <w:t>27</w:t>
            </w:r>
            <w:r>
              <w:rPr>
                <w:noProof/>
                <w:webHidden/>
              </w:rPr>
              <w:fldChar w:fldCharType="end"/>
            </w:r>
          </w:hyperlink>
        </w:p>
        <w:p w14:paraId="73E2E9EA" w14:textId="17D5D01D" w:rsidR="00AB6A41" w:rsidRDefault="00AB6A41">
          <w:pPr>
            <w:pStyle w:val="TOC1"/>
            <w:tabs>
              <w:tab w:val="right" w:leader="dot" w:pos="10212"/>
            </w:tabs>
            <w:rPr>
              <w:noProof/>
              <w:kern w:val="2"/>
              <w:lang w:eastAsia="en-GB"/>
              <w14:ligatures w14:val="standardContextual"/>
            </w:rPr>
          </w:pPr>
          <w:hyperlink w:anchor="_Toc178862641" w:history="1">
            <w:r w:rsidRPr="00645B47">
              <w:rPr>
                <w:rStyle w:val="Hyperlink"/>
                <w:rFonts w:eastAsia="Times New Roman"/>
                <w:noProof/>
              </w:rPr>
              <w:t>Annex 1: Types of overflows</w:t>
            </w:r>
            <w:r>
              <w:rPr>
                <w:noProof/>
                <w:webHidden/>
              </w:rPr>
              <w:tab/>
            </w:r>
            <w:r>
              <w:rPr>
                <w:noProof/>
                <w:webHidden/>
              </w:rPr>
              <w:fldChar w:fldCharType="begin"/>
            </w:r>
            <w:r>
              <w:rPr>
                <w:noProof/>
                <w:webHidden/>
              </w:rPr>
              <w:instrText xml:space="preserve"> PAGEREF _Toc178862641 \h </w:instrText>
            </w:r>
            <w:r>
              <w:rPr>
                <w:noProof/>
                <w:webHidden/>
              </w:rPr>
            </w:r>
            <w:r>
              <w:rPr>
                <w:noProof/>
                <w:webHidden/>
              </w:rPr>
              <w:fldChar w:fldCharType="separate"/>
            </w:r>
            <w:r>
              <w:rPr>
                <w:noProof/>
                <w:webHidden/>
              </w:rPr>
              <w:t>28</w:t>
            </w:r>
            <w:r>
              <w:rPr>
                <w:noProof/>
                <w:webHidden/>
              </w:rPr>
              <w:fldChar w:fldCharType="end"/>
            </w:r>
          </w:hyperlink>
        </w:p>
        <w:p w14:paraId="6334ADE4" w14:textId="2856971A" w:rsidR="00AB6A41" w:rsidRDefault="00AB6A41">
          <w:pPr>
            <w:pStyle w:val="TOC2"/>
            <w:tabs>
              <w:tab w:val="left" w:pos="1200"/>
              <w:tab w:val="right" w:leader="dot" w:pos="10212"/>
            </w:tabs>
            <w:rPr>
              <w:noProof/>
              <w:kern w:val="2"/>
              <w:lang w:eastAsia="en-GB"/>
              <w14:ligatures w14:val="standardContextual"/>
            </w:rPr>
          </w:pPr>
          <w:hyperlink w:anchor="_Toc178862642" w:history="1">
            <w:r w:rsidRPr="00645B47">
              <w:rPr>
                <w:rStyle w:val="Hyperlink"/>
                <w:rFonts w:eastAsia="Times New Roman"/>
                <w:noProof/>
              </w:rPr>
              <w:t xml:space="preserve">A1.1 </w:t>
            </w:r>
            <w:r>
              <w:rPr>
                <w:noProof/>
                <w:kern w:val="2"/>
                <w:lang w:eastAsia="en-GB"/>
                <w14:ligatures w14:val="standardContextual"/>
              </w:rPr>
              <w:tab/>
            </w:r>
            <w:r w:rsidRPr="00645B47">
              <w:rPr>
                <w:rStyle w:val="Hyperlink"/>
                <w:rFonts w:eastAsia="Times New Roman"/>
                <w:noProof/>
              </w:rPr>
              <w:t>Combined sewer overflows (CSOs)</w:t>
            </w:r>
            <w:r>
              <w:rPr>
                <w:noProof/>
                <w:webHidden/>
              </w:rPr>
              <w:tab/>
            </w:r>
            <w:r>
              <w:rPr>
                <w:noProof/>
                <w:webHidden/>
              </w:rPr>
              <w:fldChar w:fldCharType="begin"/>
            </w:r>
            <w:r>
              <w:rPr>
                <w:noProof/>
                <w:webHidden/>
              </w:rPr>
              <w:instrText xml:space="preserve"> PAGEREF _Toc178862642 \h </w:instrText>
            </w:r>
            <w:r>
              <w:rPr>
                <w:noProof/>
                <w:webHidden/>
              </w:rPr>
            </w:r>
            <w:r>
              <w:rPr>
                <w:noProof/>
                <w:webHidden/>
              </w:rPr>
              <w:fldChar w:fldCharType="separate"/>
            </w:r>
            <w:r>
              <w:rPr>
                <w:noProof/>
                <w:webHidden/>
              </w:rPr>
              <w:t>28</w:t>
            </w:r>
            <w:r>
              <w:rPr>
                <w:noProof/>
                <w:webHidden/>
              </w:rPr>
              <w:fldChar w:fldCharType="end"/>
            </w:r>
          </w:hyperlink>
        </w:p>
        <w:p w14:paraId="76FFF5A4" w14:textId="140011B5" w:rsidR="00AB6A41" w:rsidRDefault="00AB6A41">
          <w:pPr>
            <w:pStyle w:val="TOC2"/>
            <w:tabs>
              <w:tab w:val="left" w:pos="1200"/>
              <w:tab w:val="right" w:leader="dot" w:pos="10212"/>
            </w:tabs>
            <w:rPr>
              <w:noProof/>
              <w:kern w:val="2"/>
              <w:lang w:eastAsia="en-GB"/>
              <w14:ligatures w14:val="standardContextual"/>
            </w:rPr>
          </w:pPr>
          <w:hyperlink w:anchor="_Toc178862643" w:history="1">
            <w:r w:rsidRPr="00645B47">
              <w:rPr>
                <w:rStyle w:val="Hyperlink"/>
                <w:rFonts w:eastAsia="Times New Roman"/>
                <w:noProof/>
              </w:rPr>
              <w:t xml:space="preserve">A1.2 </w:t>
            </w:r>
            <w:r>
              <w:rPr>
                <w:noProof/>
                <w:kern w:val="2"/>
                <w:lang w:eastAsia="en-GB"/>
                <w14:ligatures w14:val="standardContextual"/>
              </w:rPr>
              <w:tab/>
            </w:r>
            <w:r w:rsidRPr="00645B47">
              <w:rPr>
                <w:rStyle w:val="Hyperlink"/>
                <w:rFonts w:eastAsia="Times New Roman"/>
                <w:noProof/>
              </w:rPr>
              <w:t>Storm tanks</w:t>
            </w:r>
            <w:r>
              <w:rPr>
                <w:noProof/>
                <w:webHidden/>
              </w:rPr>
              <w:tab/>
            </w:r>
            <w:r>
              <w:rPr>
                <w:noProof/>
                <w:webHidden/>
              </w:rPr>
              <w:fldChar w:fldCharType="begin"/>
            </w:r>
            <w:r>
              <w:rPr>
                <w:noProof/>
                <w:webHidden/>
              </w:rPr>
              <w:instrText xml:space="preserve"> PAGEREF _Toc178862643 \h </w:instrText>
            </w:r>
            <w:r>
              <w:rPr>
                <w:noProof/>
                <w:webHidden/>
              </w:rPr>
            </w:r>
            <w:r>
              <w:rPr>
                <w:noProof/>
                <w:webHidden/>
              </w:rPr>
              <w:fldChar w:fldCharType="separate"/>
            </w:r>
            <w:r>
              <w:rPr>
                <w:noProof/>
                <w:webHidden/>
              </w:rPr>
              <w:t>28</w:t>
            </w:r>
            <w:r>
              <w:rPr>
                <w:noProof/>
                <w:webHidden/>
              </w:rPr>
              <w:fldChar w:fldCharType="end"/>
            </w:r>
          </w:hyperlink>
        </w:p>
        <w:p w14:paraId="547F9168" w14:textId="01E963BE" w:rsidR="00AB6A41" w:rsidRDefault="00AB6A41">
          <w:pPr>
            <w:pStyle w:val="TOC2"/>
            <w:tabs>
              <w:tab w:val="left" w:pos="1200"/>
              <w:tab w:val="right" w:leader="dot" w:pos="10212"/>
            </w:tabs>
            <w:rPr>
              <w:noProof/>
              <w:kern w:val="2"/>
              <w:lang w:eastAsia="en-GB"/>
              <w14:ligatures w14:val="standardContextual"/>
            </w:rPr>
          </w:pPr>
          <w:hyperlink w:anchor="_Toc178862644" w:history="1">
            <w:r w:rsidRPr="00645B47">
              <w:rPr>
                <w:rStyle w:val="Hyperlink"/>
                <w:rFonts w:eastAsia="Times New Roman"/>
                <w:noProof/>
              </w:rPr>
              <w:t xml:space="preserve">A1.3 </w:t>
            </w:r>
            <w:r>
              <w:rPr>
                <w:noProof/>
                <w:kern w:val="2"/>
                <w:lang w:eastAsia="en-GB"/>
                <w14:ligatures w14:val="standardContextual"/>
              </w:rPr>
              <w:tab/>
            </w:r>
            <w:r w:rsidRPr="00645B47">
              <w:rPr>
                <w:rStyle w:val="Hyperlink"/>
                <w:rFonts w:eastAsia="Times New Roman"/>
                <w:noProof/>
              </w:rPr>
              <w:t>Emergency overflows</w:t>
            </w:r>
            <w:r>
              <w:rPr>
                <w:noProof/>
                <w:webHidden/>
              </w:rPr>
              <w:tab/>
            </w:r>
            <w:r>
              <w:rPr>
                <w:noProof/>
                <w:webHidden/>
              </w:rPr>
              <w:fldChar w:fldCharType="begin"/>
            </w:r>
            <w:r>
              <w:rPr>
                <w:noProof/>
                <w:webHidden/>
              </w:rPr>
              <w:instrText xml:space="preserve"> PAGEREF _Toc178862644 \h </w:instrText>
            </w:r>
            <w:r>
              <w:rPr>
                <w:noProof/>
                <w:webHidden/>
              </w:rPr>
            </w:r>
            <w:r>
              <w:rPr>
                <w:noProof/>
                <w:webHidden/>
              </w:rPr>
              <w:fldChar w:fldCharType="separate"/>
            </w:r>
            <w:r>
              <w:rPr>
                <w:noProof/>
                <w:webHidden/>
              </w:rPr>
              <w:t>29</w:t>
            </w:r>
            <w:r>
              <w:rPr>
                <w:noProof/>
                <w:webHidden/>
              </w:rPr>
              <w:fldChar w:fldCharType="end"/>
            </w:r>
          </w:hyperlink>
        </w:p>
        <w:p w14:paraId="3CFA344C" w14:textId="14F0D5FE" w:rsidR="00AB6A41" w:rsidRDefault="00AB6A41">
          <w:pPr>
            <w:pStyle w:val="TOC1"/>
            <w:tabs>
              <w:tab w:val="right" w:leader="dot" w:pos="10212"/>
            </w:tabs>
            <w:rPr>
              <w:noProof/>
              <w:kern w:val="2"/>
              <w:lang w:eastAsia="en-GB"/>
              <w14:ligatures w14:val="standardContextual"/>
            </w:rPr>
          </w:pPr>
          <w:hyperlink w:anchor="_Toc178862645" w:history="1">
            <w:r w:rsidRPr="00645B47">
              <w:rPr>
                <w:rStyle w:val="Hyperlink"/>
                <w:noProof/>
              </w:rPr>
              <w:t>Annex 2: Background to sewer network licences</w:t>
            </w:r>
            <w:r>
              <w:rPr>
                <w:noProof/>
                <w:webHidden/>
              </w:rPr>
              <w:tab/>
            </w:r>
            <w:r>
              <w:rPr>
                <w:noProof/>
                <w:webHidden/>
              </w:rPr>
              <w:fldChar w:fldCharType="begin"/>
            </w:r>
            <w:r>
              <w:rPr>
                <w:noProof/>
                <w:webHidden/>
              </w:rPr>
              <w:instrText xml:space="preserve"> PAGEREF _Toc178862645 \h </w:instrText>
            </w:r>
            <w:r>
              <w:rPr>
                <w:noProof/>
                <w:webHidden/>
              </w:rPr>
            </w:r>
            <w:r>
              <w:rPr>
                <w:noProof/>
                <w:webHidden/>
              </w:rPr>
              <w:fldChar w:fldCharType="separate"/>
            </w:r>
            <w:r>
              <w:rPr>
                <w:noProof/>
                <w:webHidden/>
              </w:rPr>
              <w:t>29</w:t>
            </w:r>
            <w:r>
              <w:rPr>
                <w:noProof/>
                <w:webHidden/>
              </w:rPr>
              <w:fldChar w:fldCharType="end"/>
            </w:r>
          </w:hyperlink>
        </w:p>
        <w:p w14:paraId="09353E9D" w14:textId="65B52891" w:rsidR="00B379F3" w:rsidRDefault="00B379F3">
          <w:r>
            <w:rPr>
              <w:b/>
              <w:bCs/>
              <w:noProof/>
            </w:rPr>
            <w:lastRenderedPageBreak/>
            <w:fldChar w:fldCharType="end"/>
          </w:r>
        </w:p>
      </w:sdtContent>
    </w:sdt>
    <w:p w14:paraId="2A0E944B" w14:textId="77777777" w:rsidR="001D3090" w:rsidRDefault="001D3090" w:rsidP="00BA1580"/>
    <w:p w14:paraId="4D74457E" w14:textId="42A55E9A" w:rsidR="00BA1580" w:rsidRDefault="00BA1580" w:rsidP="00542F79">
      <w:pPr>
        <w:pStyle w:val="Heading1"/>
        <w:numPr>
          <w:ilvl w:val="0"/>
          <w:numId w:val="1"/>
        </w:numPr>
        <w:ind w:hanging="720"/>
        <w:rPr>
          <w:rFonts w:eastAsia="Times New Roman"/>
        </w:rPr>
      </w:pPr>
      <w:bookmarkStart w:id="2" w:name="_Toc178862606"/>
      <w:r>
        <w:rPr>
          <w:rFonts w:eastAsia="Times New Roman"/>
        </w:rPr>
        <w:t xml:space="preserve">Key </w:t>
      </w:r>
      <w:r w:rsidR="003B0C26">
        <w:rPr>
          <w:rFonts w:eastAsia="Times New Roman"/>
        </w:rPr>
        <w:t>p</w:t>
      </w:r>
      <w:r>
        <w:rPr>
          <w:rFonts w:eastAsia="Times New Roman"/>
        </w:rPr>
        <w:t>oints</w:t>
      </w:r>
      <w:bookmarkEnd w:id="2"/>
    </w:p>
    <w:p w14:paraId="6800E903" w14:textId="77777777" w:rsidR="00BA1580" w:rsidRPr="00BA1580" w:rsidRDefault="00BA1580" w:rsidP="007B7A6C">
      <w:pPr>
        <w:pStyle w:val="BodyText1"/>
      </w:pPr>
      <w:r w:rsidRPr="00BA1580">
        <w:t>The guidance applies to the following types of intermittent discharges:</w:t>
      </w:r>
    </w:p>
    <w:p w14:paraId="05F7F827" w14:textId="77777777" w:rsidR="00BA1580" w:rsidRPr="00BA1580" w:rsidRDefault="00BA1580" w:rsidP="00542F79">
      <w:pPr>
        <w:pStyle w:val="BodyText1"/>
        <w:numPr>
          <w:ilvl w:val="0"/>
          <w:numId w:val="19"/>
        </w:numPr>
      </w:pPr>
      <w:r w:rsidRPr="00BA1580">
        <w:t xml:space="preserve">Combined sewer overflows (CSOs) at sewage treatment works (STWs) and on the sewer network. </w:t>
      </w:r>
    </w:p>
    <w:p w14:paraId="14F79E67" w14:textId="77777777" w:rsidR="00BA1580" w:rsidRPr="00BA1580" w:rsidRDefault="00BA1580" w:rsidP="00542F79">
      <w:pPr>
        <w:pStyle w:val="BodyText1"/>
        <w:numPr>
          <w:ilvl w:val="0"/>
          <w:numId w:val="19"/>
        </w:numPr>
      </w:pPr>
      <w:r w:rsidRPr="00BA1580">
        <w:t xml:space="preserve">Storm tank overflows at STWs and on the sewer network. </w:t>
      </w:r>
    </w:p>
    <w:p w14:paraId="7A848BAA" w14:textId="77777777" w:rsidR="00BA1580" w:rsidRPr="00BA1580" w:rsidRDefault="00BA1580" w:rsidP="00542F79">
      <w:pPr>
        <w:pStyle w:val="BodyText1"/>
        <w:numPr>
          <w:ilvl w:val="0"/>
          <w:numId w:val="19"/>
        </w:numPr>
      </w:pPr>
      <w:r w:rsidRPr="00BA1580">
        <w:t xml:space="preserve">Emergency overflows (EOs) from pumping stations. </w:t>
      </w:r>
    </w:p>
    <w:p w14:paraId="49EEE614" w14:textId="77777777" w:rsidR="00BA1580" w:rsidRPr="00BA1580" w:rsidRDefault="00BA1580" w:rsidP="00542F79">
      <w:pPr>
        <w:pStyle w:val="BodyText1"/>
        <w:numPr>
          <w:ilvl w:val="0"/>
          <w:numId w:val="19"/>
        </w:numPr>
      </w:pPr>
      <w:r w:rsidRPr="00BA1580">
        <w:t>Scottish Water network CSOs and EOs are authorised by sewer network licences.</w:t>
      </w:r>
    </w:p>
    <w:p w14:paraId="6CFD67B4" w14:textId="77777777" w:rsidR="00BA1580" w:rsidRPr="00BA1580" w:rsidRDefault="00BA1580" w:rsidP="00542F79">
      <w:pPr>
        <w:pStyle w:val="BodyText1"/>
        <w:numPr>
          <w:ilvl w:val="0"/>
          <w:numId w:val="19"/>
        </w:numPr>
      </w:pPr>
      <w:r w:rsidRPr="00BA1580">
        <w:t>Existing discharges should be licensed to address any unsatisfactory criteria.</w:t>
      </w:r>
    </w:p>
    <w:p w14:paraId="59857AA4" w14:textId="77777777" w:rsidR="00BA1580" w:rsidRDefault="00BA1580" w:rsidP="00BA1580"/>
    <w:p w14:paraId="50804772" w14:textId="342DBBAC" w:rsidR="00BA1580" w:rsidRPr="00BA1580" w:rsidRDefault="00BA1580" w:rsidP="007B7A6C">
      <w:pPr>
        <w:pStyle w:val="BodyText1"/>
      </w:pPr>
      <w:r w:rsidRPr="00BA1580">
        <w:t xml:space="preserve">A new discharge should be designed to satisfy the </w:t>
      </w:r>
      <w:hyperlink r:id="rId13" w:history="1">
        <w:r w:rsidRPr="00BA1580">
          <w:rPr>
            <w:rStyle w:val="Hyperlink"/>
          </w:rPr>
          <w:t>Urban Waste Water Treatment (Scotland) Regulations 1994</w:t>
        </w:r>
      </w:hyperlink>
      <w:r w:rsidRPr="00BA1580">
        <w:t xml:space="preserve"> (UWWTR) with reference to two key external documents:</w:t>
      </w:r>
    </w:p>
    <w:p w14:paraId="6441BF59" w14:textId="77777777" w:rsidR="00BA1580" w:rsidRDefault="00BA1580" w:rsidP="00542F79">
      <w:pPr>
        <w:pStyle w:val="BodyText1"/>
        <w:numPr>
          <w:ilvl w:val="0"/>
          <w:numId w:val="20"/>
        </w:numPr>
        <w:rPr>
          <w:rStyle w:val="Hyperlink"/>
        </w:rPr>
      </w:pPr>
      <w:hyperlink r:id="rId14" w:history="1">
        <w:r w:rsidRPr="00BA1580">
          <w:rPr>
            <w:rStyle w:val="Hyperlink"/>
          </w:rPr>
          <w:t>Urban Pollution Management Manual</w:t>
        </w:r>
      </w:hyperlink>
    </w:p>
    <w:p w14:paraId="437ED05C" w14:textId="38E59DCD" w:rsidR="00010CBE" w:rsidRPr="00010CBE" w:rsidRDefault="00010CBE" w:rsidP="00542F79">
      <w:pPr>
        <w:pStyle w:val="BodyText1"/>
        <w:numPr>
          <w:ilvl w:val="0"/>
          <w:numId w:val="20"/>
        </w:numPr>
      </w:pPr>
      <w:r w:rsidRPr="00010CBE">
        <w:rPr>
          <w:rStyle w:val="Hyperlink"/>
          <w:color w:val="auto"/>
          <w:u w:val="none"/>
        </w:rPr>
        <w:t xml:space="preserve">Urban </w:t>
      </w:r>
      <w:proofErr w:type="gramStart"/>
      <w:r w:rsidRPr="00010CBE">
        <w:rPr>
          <w:rStyle w:val="Hyperlink"/>
          <w:color w:val="auto"/>
          <w:u w:val="none"/>
        </w:rPr>
        <w:t>Waste Water</w:t>
      </w:r>
      <w:proofErr w:type="gramEnd"/>
      <w:r w:rsidRPr="00010CBE">
        <w:rPr>
          <w:rStyle w:val="Hyperlink"/>
          <w:color w:val="auto"/>
          <w:u w:val="none"/>
        </w:rPr>
        <w:t xml:space="preserve"> Treatment </w:t>
      </w:r>
      <w:r w:rsidR="00BC0151" w:rsidRPr="00010CBE">
        <w:rPr>
          <w:rStyle w:val="Hyperlink"/>
          <w:color w:val="auto"/>
          <w:u w:val="none"/>
        </w:rPr>
        <w:t>Regulations</w:t>
      </w:r>
      <w:r w:rsidRPr="00010CBE">
        <w:rPr>
          <w:rStyle w:val="Hyperlink"/>
          <w:color w:val="auto"/>
          <w:u w:val="none"/>
        </w:rPr>
        <w:t xml:space="preserve"> Guidance Note</w:t>
      </w:r>
      <w:r w:rsidR="00BC0151">
        <w:rPr>
          <w:rStyle w:val="Hyperlink"/>
          <w:color w:val="auto"/>
          <w:u w:val="none"/>
        </w:rPr>
        <w:t>.</w:t>
      </w:r>
    </w:p>
    <w:p w14:paraId="58418E56" w14:textId="77777777" w:rsidR="00BA1580" w:rsidRPr="00BA1580" w:rsidRDefault="00BA1580" w:rsidP="00BA1580"/>
    <w:p w14:paraId="1380776B" w14:textId="5281E674" w:rsidR="00BA1580" w:rsidRPr="00B81A9F" w:rsidRDefault="00EF5701" w:rsidP="00542F79">
      <w:pPr>
        <w:pStyle w:val="Heading1"/>
        <w:numPr>
          <w:ilvl w:val="0"/>
          <w:numId w:val="1"/>
        </w:numPr>
        <w:ind w:hanging="720"/>
        <w:rPr>
          <w:rFonts w:eastAsia="Times New Roman"/>
        </w:rPr>
      </w:pPr>
      <w:bookmarkStart w:id="3" w:name="_Toc178862607"/>
      <w:r>
        <w:rPr>
          <w:rFonts w:eastAsia="Times New Roman"/>
        </w:rPr>
        <w:t>Types of overflows</w:t>
      </w:r>
      <w:bookmarkEnd w:id="3"/>
      <w:r w:rsidR="000532BA" w:rsidRPr="00B81A9F">
        <w:rPr>
          <w:rFonts w:eastAsia="Times New Roman"/>
        </w:rPr>
        <w:t xml:space="preserve"> </w:t>
      </w:r>
    </w:p>
    <w:p w14:paraId="53AB6E33" w14:textId="77777777" w:rsidR="00016170" w:rsidRDefault="00BA1580" w:rsidP="007B7A6C">
      <w:pPr>
        <w:pStyle w:val="BodyText1"/>
      </w:pPr>
      <w:r>
        <w:t>Intermittent discharges may occur at a STW or from a sewerage system (or network).  Such discharges consist of</w:t>
      </w:r>
      <w:r w:rsidR="00016170">
        <w:t>:</w:t>
      </w:r>
      <w:r>
        <w:t xml:space="preserve"> </w:t>
      </w:r>
    </w:p>
    <w:p w14:paraId="7CA616C7" w14:textId="659025E1" w:rsidR="00016170" w:rsidRPr="007B7A6C" w:rsidRDefault="00B36F3A" w:rsidP="00542F79">
      <w:pPr>
        <w:pStyle w:val="BodyText1"/>
        <w:numPr>
          <w:ilvl w:val="0"/>
          <w:numId w:val="21"/>
        </w:numPr>
      </w:pPr>
      <w:r>
        <w:t>Combined sewer overflows (</w:t>
      </w:r>
      <w:r w:rsidR="00055935">
        <w:t>CSOs</w:t>
      </w:r>
      <w:r>
        <w:t>)</w:t>
      </w:r>
      <w:r w:rsidR="00016170" w:rsidRPr="00F65B09">
        <w:t>.</w:t>
      </w:r>
      <w:r w:rsidR="000E03CC" w:rsidRPr="00F65B09">
        <w:t xml:space="preserve"> </w:t>
      </w:r>
      <w:r w:rsidR="00055935" w:rsidRPr="007B7A6C">
        <w:t xml:space="preserve">These are discharges from </w:t>
      </w:r>
      <w:r w:rsidR="00674B65" w:rsidRPr="007B7A6C">
        <w:t>combined</w:t>
      </w:r>
      <w:r w:rsidR="00A256AD" w:rsidRPr="007B7A6C">
        <w:t xml:space="preserve"> </w:t>
      </w:r>
      <w:r w:rsidR="00674B65" w:rsidRPr="007B7A6C">
        <w:t>sewers</w:t>
      </w:r>
      <w:r w:rsidR="00A256AD" w:rsidRPr="007B7A6C">
        <w:t xml:space="preserve"> during rainfall to prevent flooding or inundation of areas with dilute sewage.</w:t>
      </w:r>
      <w:r w:rsidR="00674B65" w:rsidRPr="007B7A6C">
        <w:t xml:space="preserve"> A combined sewer takes both </w:t>
      </w:r>
      <w:r w:rsidR="000E03CC" w:rsidRPr="007B7A6C">
        <w:t>rainwater</w:t>
      </w:r>
      <w:r w:rsidR="00674B65" w:rsidRPr="007B7A6C">
        <w:t xml:space="preserve"> run-off and </w:t>
      </w:r>
      <w:r w:rsidR="000E03CC" w:rsidRPr="007B7A6C">
        <w:t>foul (sewage &amp; trade) effluent</w:t>
      </w:r>
      <w:r w:rsidR="00674B65" w:rsidRPr="007B7A6C">
        <w:t>.</w:t>
      </w:r>
    </w:p>
    <w:p w14:paraId="3BF028EA" w14:textId="635A27C2" w:rsidR="00016170" w:rsidRDefault="00016170" w:rsidP="00542F79">
      <w:pPr>
        <w:pStyle w:val="BodyText1"/>
        <w:numPr>
          <w:ilvl w:val="0"/>
          <w:numId w:val="21"/>
        </w:numPr>
      </w:pPr>
      <w:r w:rsidRPr="00F65B09">
        <w:t>S</w:t>
      </w:r>
      <w:r w:rsidR="00BA1580" w:rsidRPr="00F65B09">
        <w:t>torm tank overflows</w:t>
      </w:r>
      <w:r w:rsidR="00032585" w:rsidRPr="00F65B09">
        <w:t xml:space="preserve">. </w:t>
      </w:r>
      <w:r w:rsidR="00032585" w:rsidRPr="007B7A6C">
        <w:t>Storm tanks at inland sewage treatment works are normally required to deal primarily with the polluting "first flush" of storm sewage</w:t>
      </w:r>
      <w:r w:rsidRPr="007B7A6C">
        <w:t>;</w:t>
      </w:r>
      <w:r w:rsidR="00BA1580" w:rsidRPr="007B7A6C">
        <w:t xml:space="preserve"> </w:t>
      </w:r>
      <w:r w:rsidR="00BA1580">
        <w:t xml:space="preserve">and </w:t>
      </w:r>
    </w:p>
    <w:p w14:paraId="3470163C" w14:textId="4752C42E" w:rsidR="00BA1580" w:rsidRDefault="00016170" w:rsidP="00542F79">
      <w:pPr>
        <w:pStyle w:val="BodyText1"/>
        <w:numPr>
          <w:ilvl w:val="0"/>
          <w:numId w:val="21"/>
        </w:numPr>
      </w:pPr>
      <w:r>
        <w:lastRenderedPageBreak/>
        <w:t>E</w:t>
      </w:r>
      <w:r w:rsidR="00BA1580">
        <w:t>mergency overflows</w:t>
      </w:r>
      <w:r w:rsidR="00B36F3A">
        <w:t xml:space="preserve"> (EOs)</w:t>
      </w:r>
      <w:r w:rsidR="00EC51E9">
        <w:t>.</w:t>
      </w:r>
      <w:r w:rsidR="00EF5701">
        <w:rPr>
          <w:color w:val="FF0000"/>
        </w:rPr>
        <w:t xml:space="preserve"> </w:t>
      </w:r>
      <w:r w:rsidR="00BA1580">
        <w:t>Emergency overflows may be present where there are pumps or other equipment at risk from mechanical/electrical failure.</w:t>
      </w:r>
    </w:p>
    <w:p w14:paraId="39956831" w14:textId="26561472" w:rsidR="00A9024F" w:rsidRPr="00A9024F" w:rsidRDefault="00A9024F" w:rsidP="007B7A6C">
      <w:pPr>
        <w:pStyle w:val="BodyText1"/>
      </w:pPr>
      <w:r w:rsidRPr="00A9024F">
        <w:t xml:space="preserve">Pumping stations on a combined sewer often have both a CSO and an EO.  </w:t>
      </w:r>
      <w:r w:rsidRPr="007B7A6C">
        <w:t>The</w:t>
      </w:r>
      <w:r w:rsidRPr="00F65B09">
        <w:t xml:space="preserve"> 2 types of </w:t>
      </w:r>
      <w:proofErr w:type="gramStart"/>
      <w:r w:rsidRPr="00F65B09">
        <w:t>overflow</w:t>
      </w:r>
      <w:proofErr w:type="gramEnd"/>
      <w:r w:rsidRPr="00F65B09">
        <w:t xml:space="preserve"> </w:t>
      </w:r>
      <w:r w:rsidRPr="007B7A6C">
        <w:t xml:space="preserve">will </w:t>
      </w:r>
      <w:r w:rsidRPr="00F65B09">
        <w:t>h</w:t>
      </w:r>
      <w:r w:rsidRPr="00A9024F">
        <w:t>ave different conditions applying to them even though they may discharge to the environment through the same outfall pipe.</w:t>
      </w:r>
      <w:r>
        <w:t xml:space="preserve"> </w:t>
      </w:r>
    </w:p>
    <w:p w14:paraId="3B0D173D" w14:textId="7E278953" w:rsidR="00A767D9" w:rsidRPr="007B7A6C" w:rsidRDefault="00A767D9" w:rsidP="007B7A6C">
      <w:pPr>
        <w:pStyle w:val="BodyText1"/>
      </w:pPr>
      <w:r w:rsidRPr="00513DC5">
        <w:t>Figure</w:t>
      </w:r>
      <w:r w:rsidR="00A9024F" w:rsidRPr="00513DC5">
        <w:t xml:space="preserve"> 1 shows flow distribution for a typical sewerage network</w:t>
      </w:r>
      <w:r w:rsidR="00156DA9" w:rsidRPr="00513DC5">
        <w:t>.</w:t>
      </w:r>
      <w:r w:rsidR="00A9024F" w:rsidRPr="00513DC5">
        <w:t xml:space="preserve"> </w:t>
      </w:r>
      <w:r w:rsidR="00DA3DBF" w:rsidRPr="007B7A6C">
        <w:t xml:space="preserve">Many </w:t>
      </w:r>
      <w:r w:rsidR="00A9024F" w:rsidRPr="00513DC5">
        <w:t>sewerage networks will differ from this considerably</w:t>
      </w:r>
      <w:r w:rsidR="00156DA9" w:rsidRPr="00513DC5">
        <w:t>.</w:t>
      </w:r>
    </w:p>
    <w:p w14:paraId="7153F62F" w14:textId="77777777" w:rsidR="00156DA9" w:rsidRDefault="00156DA9" w:rsidP="00156DA9">
      <w:pPr>
        <w:rPr>
          <w:strike/>
          <w:color w:val="FF0000"/>
        </w:rPr>
      </w:pPr>
    </w:p>
    <w:p w14:paraId="6ADB70B7" w14:textId="636A6649" w:rsidR="00A9024F" w:rsidRDefault="006E56C2" w:rsidP="007B7A6C">
      <w:pPr>
        <w:pStyle w:val="BodyText1"/>
        <w:rPr>
          <w:b/>
          <w:bCs/>
        </w:rPr>
      </w:pPr>
      <w:r w:rsidRPr="007B7A6C">
        <w:rPr>
          <w:b/>
          <w:bCs/>
        </w:rPr>
        <w:t xml:space="preserve">Figure 1: </w:t>
      </w:r>
      <w:r w:rsidR="000D5D2B">
        <w:rPr>
          <w:b/>
          <w:bCs/>
        </w:rPr>
        <w:t>Typical s</w:t>
      </w:r>
      <w:r w:rsidRPr="007B7A6C">
        <w:rPr>
          <w:b/>
          <w:bCs/>
        </w:rPr>
        <w:t>ewage flow</w:t>
      </w:r>
      <w:r w:rsidR="003627A6" w:rsidRPr="007B7A6C">
        <w:rPr>
          <w:b/>
          <w:bCs/>
        </w:rPr>
        <w:t xml:space="preserve"> distribution </w:t>
      </w:r>
    </w:p>
    <w:p w14:paraId="46E55EC3" w14:textId="4F625136" w:rsidR="00A9024F" w:rsidRPr="005B5321" w:rsidRDefault="005B682C" w:rsidP="005B5321">
      <w:pPr>
        <w:pStyle w:val="BodyText1"/>
        <w:rPr>
          <w:b/>
          <w:bCs/>
        </w:rPr>
      </w:pPr>
      <w:r w:rsidRPr="005B682C">
        <w:rPr>
          <w:b/>
          <w:bCs/>
          <w:noProof/>
        </w:rPr>
        <w:drawing>
          <wp:inline distT="0" distB="0" distL="0" distR="0" wp14:anchorId="09D25F22" wp14:editId="3327EA64">
            <wp:extent cx="6216970" cy="3397425"/>
            <wp:effectExtent l="0" t="0" r="0" b="0"/>
            <wp:docPr id="1956351522" name="Picture 1" descr="A diagram of typical locations of emergency overflows, combined sewer overflows, storm tank overflows and final efflu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351522" name="Picture 1" descr="A diagram of typical locations of emergency overflows, combined sewer overflows, storm tank overflows and final effluent. "/>
                    <pic:cNvPicPr/>
                  </pic:nvPicPr>
                  <pic:blipFill>
                    <a:blip r:embed="rId15"/>
                    <a:stretch>
                      <a:fillRect/>
                    </a:stretch>
                  </pic:blipFill>
                  <pic:spPr>
                    <a:xfrm>
                      <a:off x="0" y="0"/>
                      <a:ext cx="6216970" cy="3397425"/>
                    </a:xfrm>
                    <a:prstGeom prst="rect">
                      <a:avLst/>
                    </a:prstGeom>
                  </pic:spPr>
                </pic:pic>
              </a:graphicData>
            </a:graphic>
          </wp:inline>
        </w:drawing>
      </w:r>
    </w:p>
    <w:p w14:paraId="7424A9EB" w14:textId="77777777" w:rsidR="00562AA0" w:rsidRPr="00877598" w:rsidRDefault="00562AA0" w:rsidP="003B0C26">
      <w:pPr>
        <w:rPr>
          <w:color w:val="FF0000"/>
        </w:rPr>
      </w:pPr>
    </w:p>
    <w:p w14:paraId="25B76DFB" w14:textId="142D01A5" w:rsidR="00B06800" w:rsidRDefault="00B06800" w:rsidP="00542F79">
      <w:pPr>
        <w:pStyle w:val="Heading1"/>
        <w:numPr>
          <w:ilvl w:val="0"/>
          <w:numId w:val="1"/>
        </w:numPr>
        <w:ind w:hanging="720"/>
      </w:pPr>
      <w:bookmarkStart w:id="4" w:name="_Toc178862608"/>
      <w:r>
        <w:t>Applying for a licence for an overflow</w:t>
      </w:r>
      <w:bookmarkEnd w:id="4"/>
    </w:p>
    <w:p w14:paraId="5A301A09" w14:textId="6EBEC20E" w:rsidR="00C00090" w:rsidRDefault="00C00090" w:rsidP="007B7A6C">
      <w:pPr>
        <w:pStyle w:val="BodyText1"/>
      </w:pPr>
      <w:r>
        <w:t xml:space="preserve">Before applying for a </w:t>
      </w:r>
      <w:proofErr w:type="gramStart"/>
      <w:r>
        <w:t>licence</w:t>
      </w:r>
      <w:proofErr w:type="gramEnd"/>
      <w:r>
        <w:t xml:space="preserve"> we recommend pre application discussions with </w:t>
      </w:r>
      <w:r w:rsidRPr="007B7A6C">
        <w:t>SEPA</w:t>
      </w:r>
      <w:r w:rsidRPr="003A197E">
        <w:t xml:space="preserve"> at </w:t>
      </w:r>
      <w:r>
        <w:t>the earliest possible stage. This will allow discussion of the options available, the required standards to be achieved and ensure adequate modelling/monitoring data collection is carried out.</w:t>
      </w:r>
    </w:p>
    <w:p w14:paraId="1866D96F" w14:textId="5A6C32F1" w:rsidR="005001C5" w:rsidRDefault="00C00090" w:rsidP="007B7A6C">
      <w:pPr>
        <w:pStyle w:val="BodyText1"/>
      </w:pPr>
      <w:r>
        <w:t>Any network improvements must be agreed and delivered via the agreed investment process.</w:t>
      </w:r>
    </w:p>
    <w:p w14:paraId="1C4F1F56" w14:textId="65D430F3" w:rsidR="00C00090" w:rsidRDefault="00C00090" w:rsidP="007B7A6C">
      <w:pPr>
        <w:pStyle w:val="BodyText1"/>
      </w:pPr>
      <w:r>
        <w:lastRenderedPageBreak/>
        <w:t>Many CSOs and EOs on sewer networks have been brought together into sewer network licences. These reflect the wider scope of CAR which can regulate activities such as sewage collection, as well as actual discharges of sewage. The concept of network licences is consistent with the practice of licensing multiple activities in one document, such as for drinking water supply and hydropower schemes.</w:t>
      </w:r>
    </w:p>
    <w:p w14:paraId="2271DBF8" w14:textId="77777777" w:rsidR="00C00090" w:rsidRDefault="00C00090" w:rsidP="007B7A6C">
      <w:pPr>
        <w:pStyle w:val="BodyText1"/>
      </w:pPr>
    </w:p>
    <w:p w14:paraId="051075A4" w14:textId="77777777" w:rsidR="00C00090" w:rsidRPr="00534783" w:rsidRDefault="00C00090" w:rsidP="007B7A6C">
      <w:pPr>
        <w:pStyle w:val="BodyText1"/>
      </w:pPr>
      <w:r w:rsidRPr="00534783">
        <w:t>Licence conditions for intermittent sewage discharges define the structures required rather than the quality of discharge to be achieved. Although the application of numeric microbiological limits is possible, it is not practical to apply numeric standards in the majority of cases.</w:t>
      </w:r>
    </w:p>
    <w:p w14:paraId="637DBF10" w14:textId="77777777" w:rsidR="00C00090" w:rsidRPr="007B7A6C" w:rsidRDefault="00C00090" w:rsidP="007B7A6C">
      <w:pPr>
        <w:pStyle w:val="BodyText1"/>
      </w:pPr>
      <w:r w:rsidRPr="007B7A6C">
        <w:t>Licences should define:</w:t>
      </w:r>
    </w:p>
    <w:p w14:paraId="6A17A246" w14:textId="77777777" w:rsidR="00C00090" w:rsidRPr="007B7A6C" w:rsidRDefault="00C00090" w:rsidP="00542F79">
      <w:pPr>
        <w:pStyle w:val="BodyText1"/>
        <w:numPr>
          <w:ilvl w:val="0"/>
          <w:numId w:val="22"/>
        </w:numPr>
      </w:pPr>
      <w:r w:rsidRPr="007B7A6C">
        <w:t>The acceptable spill setting which determines the storm water storage capacity and size of the downstream sewer.</w:t>
      </w:r>
    </w:p>
    <w:p w14:paraId="27B952FD" w14:textId="77777777" w:rsidR="00C00090" w:rsidRPr="007B7A6C" w:rsidRDefault="00C00090" w:rsidP="00542F79">
      <w:pPr>
        <w:pStyle w:val="BodyText1"/>
        <w:numPr>
          <w:ilvl w:val="0"/>
          <w:numId w:val="22"/>
        </w:numPr>
      </w:pPr>
      <w:r w:rsidRPr="007B7A6C">
        <w:t>The level of treatment required which determines the level of screening, storage etc. to be provided prior to discharge.</w:t>
      </w:r>
    </w:p>
    <w:p w14:paraId="0BB17B8C" w14:textId="77777777" w:rsidR="00C00090" w:rsidRPr="007B7A6C" w:rsidRDefault="00C00090" w:rsidP="00542F79">
      <w:pPr>
        <w:pStyle w:val="BodyText1"/>
        <w:numPr>
          <w:ilvl w:val="0"/>
          <w:numId w:val="22"/>
        </w:numPr>
      </w:pPr>
      <w:r w:rsidRPr="007B7A6C">
        <w:t>The requirements for recording of intermittent discharge events and in-sewer flow monitoring.</w:t>
      </w:r>
    </w:p>
    <w:p w14:paraId="32DD4FD9" w14:textId="77777777" w:rsidR="00C00090" w:rsidRPr="007B7A6C" w:rsidRDefault="00C00090" w:rsidP="00542F79">
      <w:pPr>
        <w:pStyle w:val="BodyText1"/>
        <w:numPr>
          <w:ilvl w:val="0"/>
          <w:numId w:val="22"/>
        </w:numPr>
      </w:pPr>
      <w:r w:rsidRPr="007B7A6C">
        <w:t>The descriptive conditions which cover environmental standards such as "deposition of solids"</w:t>
      </w:r>
    </w:p>
    <w:p w14:paraId="74468D6F" w14:textId="77777777" w:rsidR="00C00090" w:rsidRDefault="00C00090" w:rsidP="00C00090"/>
    <w:p w14:paraId="51ACC439" w14:textId="77777777" w:rsidR="00C00090" w:rsidRDefault="00C00090" w:rsidP="00542F79">
      <w:pPr>
        <w:pStyle w:val="Heading2"/>
        <w:numPr>
          <w:ilvl w:val="1"/>
          <w:numId w:val="1"/>
        </w:numPr>
        <w:ind w:left="709" w:hanging="709"/>
        <w:rPr>
          <w:rFonts w:eastAsia="Times New Roman"/>
        </w:rPr>
      </w:pPr>
      <w:bookmarkStart w:id="5" w:name="_Toc178862609"/>
      <w:r>
        <w:rPr>
          <w:rFonts w:eastAsia="Times New Roman"/>
        </w:rPr>
        <w:t>Licence templates</w:t>
      </w:r>
      <w:bookmarkEnd w:id="5"/>
    </w:p>
    <w:p w14:paraId="6BF0A3EF" w14:textId="33FEE277" w:rsidR="00C00090" w:rsidRPr="007B7A6C" w:rsidRDefault="003A197E" w:rsidP="007B7A6C">
      <w:pPr>
        <w:pStyle w:val="BodyText1"/>
      </w:pPr>
      <w:r w:rsidRPr="007B7A6C">
        <w:t>SEPA will use the</w:t>
      </w:r>
      <w:r w:rsidR="00C00090" w:rsidRPr="007B7A6C">
        <w:t xml:space="preserve"> following licence templates as appropriate:</w:t>
      </w:r>
    </w:p>
    <w:p w14:paraId="09CDF0E1" w14:textId="55547F90" w:rsidR="00C00090" w:rsidRPr="007B7A6C" w:rsidRDefault="00513DC5" w:rsidP="00542F79">
      <w:pPr>
        <w:pStyle w:val="BodyText1"/>
        <w:numPr>
          <w:ilvl w:val="0"/>
          <w:numId w:val="23"/>
        </w:numPr>
      </w:pPr>
      <w:r w:rsidRPr="4991A051">
        <w:rPr>
          <w:lang w:val="en-US"/>
        </w:rPr>
        <w:t xml:space="preserve">Municipal Sewage Treatment Works </w:t>
      </w:r>
      <w:proofErr w:type="spellStart"/>
      <w:r w:rsidRPr="4991A051">
        <w:rPr>
          <w:lang w:val="en-US"/>
        </w:rPr>
        <w:t>Licence</w:t>
      </w:r>
      <w:proofErr w:type="spellEnd"/>
      <w:r w:rsidRPr="4991A051">
        <w:rPr>
          <w:lang w:val="en-US"/>
        </w:rPr>
        <w:t xml:space="preserve"> Template</w:t>
      </w:r>
    </w:p>
    <w:p w14:paraId="3C9E8E54" w14:textId="36976C71" w:rsidR="00C00090" w:rsidRPr="007B7A6C" w:rsidRDefault="00513DC5" w:rsidP="4991A051">
      <w:pPr>
        <w:pStyle w:val="BodyText1"/>
        <w:numPr>
          <w:ilvl w:val="0"/>
          <w:numId w:val="23"/>
        </w:numPr>
        <w:rPr>
          <w:lang w:val="en-US"/>
        </w:rPr>
      </w:pPr>
      <w:r w:rsidRPr="4991A051">
        <w:rPr>
          <w:lang w:val="en-US"/>
        </w:rPr>
        <w:t xml:space="preserve">Combined Sewer Overflow </w:t>
      </w:r>
      <w:proofErr w:type="spellStart"/>
      <w:r w:rsidRPr="4991A051">
        <w:rPr>
          <w:lang w:val="en-US"/>
        </w:rPr>
        <w:t>Licence</w:t>
      </w:r>
      <w:proofErr w:type="spellEnd"/>
      <w:r w:rsidRPr="4991A051">
        <w:rPr>
          <w:lang w:val="en-US"/>
        </w:rPr>
        <w:t xml:space="preserve"> Template (CSO)</w:t>
      </w:r>
    </w:p>
    <w:p w14:paraId="29C6F4E6" w14:textId="607B562C" w:rsidR="00C00090" w:rsidRPr="007B7A6C" w:rsidRDefault="00513DC5" w:rsidP="4991A051">
      <w:pPr>
        <w:pStyle w:val="BodyText1"/>
        <w:numPr>
          <w:ilvl w:val="0"/>
          <w:numId w:val="23"/>
        </w:numPr>
        <w:rPr>
          <w:lang w:val="en-US"/>
        </w:rPr>
      </w:pPr>
      <w:r w:rsidRPr="4991A051">
        <w:rPr>
          <w:lang w:val="en-US"/>
        </w:rPr>
        <w:t xml:space="preserve">Emergency Overflow </w:t>
      </w:r>
      <w:proofErr w:type="spellStart"/>
      <w:r w:rsidRPr="4991A051">
        <w:rPr>
          <w:lang w:val="en-US"/>
        </w:rPr>
        <w:t>Licence</w:t>
      </w:r>
      <w:proofErr w:type="spellEnd"/>
      <w:r w:rsidRPr="4991A051">
        <w:rPr>
          <w:lang w:val="en-US"/>
        </w:rPr>
        <w:t xml:space="preserve"> Template (EO)</w:t>
      </w:r>
    </w:p>
    <w:p w14:paraId="399858CD" w14:textId="75D8F913" w:rsidR="00C00090" w:rsidRPr="007B7A6C" w:rsidRDefault="00513DC5" w:rsidP="4991A051">
      <w:pPr>
        <w:pStyle w:val="BodyText1"/>
        <w:numPr>
          <w:ilvl w:val="0"/>
          <w:numId w:val="23"/>
        </w:numPr>
        <w:rPr>
          <w:lang w:val="en-US"/>
        </w:rPr>
      </w:pPr>
      <w:r w:rsidRPr="4991A051">
        <w:rPr>
          <w:lang w:val="en-US"/>
        </w:rPr>
        <w:lastRenderedPageBreak/>
        <w:t xml:space="preserve">Sewer Network </w:t>
      </w:r>
      <w:proofErr w:type="spellStart"/>
      <w:r w:rsidRPr="4991A051">
        <w:rPr>
          <w:lang w:val="en-US"/>
        </w:rPr>
        <w:t>Licence</w:t>
      </w:r>
      <w:proofErr w:type="spellEnd"/>
      <w:r w:rsidRPr="4991A051">
        <w:rPr>
          <w:lang w:val="en-US"/>
        </w:rPr>
        <w:t xml:space="preserve"> Template</w:t>
      </w:r>
    </w:p>
    <w:p w14:paraId="24937423" w14:textId="77777777" w:rsidR="00C00090" w:rsidRPr="00AE217B" w:rsidRDefault="00C00090" w:rsidP="007B7A6C">
      <w:pPr>
        <w:pStyle w:val="BodyText1"/>
      </w:pPr>
      <w:r w:rsidRPr="00AE217B">
        <w:t>The sewer network licence template should be used for all network overflows licensed to Scottish Water, even if these only consist of a single overflow.  Private (including PFI operated) overflows should be licensed using the CSO and EO templates. When private overflows are subsequently adopted by Scottish Water (for example a pumping station EO) then an application to include the overflow in the relevant network licence should be submitted to SEPA.</w:t>
      </w:r>
    </w:p>
    <w:p w14:paraId="47DB1704" w14:textId="4765AF06" w:rsidR="00C00090" w:rsidRPr="00AE217B" w:rsidRDefault="00C00090" w:rsidP="007B7A6C">
      <w:pPr>
        <w:pStyle w:val="BodyText1"/>
      </w:pPr>
      <w:r w:rsidRPr="00AE217B">
        <w:t xml:space="preserve">Sewer </w:t>
      </w:r>
      <w:r w:rsidRPr="00513DC5">
        <w:t>network licences authorise most Scottish Water overflows on the sewer network whether previously unauthorised or whether authorised by deemed registrations (previously COPA consents) or CAR licences.</w:t>
      </w:r>
      <w:r w:rsidR="00BE0206" w:rsidRPr="00513DC5">
        <w:t xml:space="preserve"> </w:t>
      </w:r>
      <w:r w:rsidRPr="00513DC5">
        <w:t>Overflows within the boundary of a STW should be included within the STW licence and not the sewer network licence</w:t>
      </w:r>
      <w:r w:rsidRPr="00AE217B">
        <w:t>.</w:t>
      </w:r>
    </w:p>
    <w:p w14:paraId="3B0EC60D" w14:textId="77777777" w:rsidR="00C00090" w:rsidRDefault="00C00090" w:rsidP="00C00090"/>
    <w:p w14:paraId="40D0B325" w14:textId="134CEC78" w:rsidR="00C00090" w:rsidRDefault="00C00090" w:rsidP="00542F79">
      <w:pPr>
        <w:pStyle w:val="Heading2"/>
        <w:numPr>
          <w:ilvl w:val="1"/>
          <w:numId w:val="1"/>
        </w:numPr>
        <w:ind w:left="709" w:hanging="709"/>
        <w:rPr>
          <w:rFonts w:eastAsia="Times New Roman"/>
        </w:rPr>
      </w:pPr>
      <w:bookmarkStart w:id="6" w:name="_Toc178862610"/>
      <w:r>
        <w:rPr>
          <w:rFonts w:eastAsia="Times New Roman"/>
        </w:rPr>
        <w:t>Licen</w:t>
      </w:r>
      <w:r w:rsidR="00B421F0">
        <w:rPr>
          <w:rFonts w:eastAsia="Times New Roman"/>
        </w:rPr>
        <w:t>s</w:t>
      </w:r>
      <w:r w:rsidR="00A01DD9">
        <w:rPr>
          <w:rFonts w:eastAsia="Times New Roman"/>
        </w:rPr>
        <w:t>ing</w:t>
      </w:r>
      <w:r>
        <w:rPr>
          <w:rFonts w:eastAsia="Times New Roman"/>
        </w:rPr>
        <w:t xml:space="preserve"> existing CSOs or EOs</w:t>
      </w:r>
      <w:bookmarkEnd w:id="6"/>
    </w:p>
    <w:p w14:paraId="2FA864C3" w14:textId="4DBAB846" w:rsidR="00C00090" w:rsidRPr="004A4F63" w:rsidRDefault="00C00090" w:rsidP="007B7A6C">
      <w:pPr>
        <w:pStyle w:val="BodyText1"/>
      </w:pPr>
      <w:r w:rsidRPr="004A4F63">
        <w:t xml:space="preserve">In order to comply with the requirements of the UWWTR in relation to existing intermittent discharges, the </w:t>
      </w:r>
      <w:r w:rsidRPr="006329D1">
        <w:t>UWWTR Guidance Note</w:t>
      </w:r>
      <w:r w:rsidRPr="004A4F63">
        <w:t xml:space="preserve"> identifies unsatisfactory discharges (otherwise known as unsatisfactory intermittent discharges or UIDs) on the basis of six failure criteria:</w:t>
      </w:r>
    </w:p>
    <w:p w14:paraId="6A2E5C56" w14:textId="77777777" w:rsidR="00C00090" w:rsidRPr="004A4F63" w:rsidRDefault="00C00090" w:rsidP="00542F79">
      <w:pPr>
        <w:pStyle w:val="BodyText1"/>
        <w:numPr>
          <w:ilvl w:val="0"/>
          <w:numId w:val="24"/>
        </w:numPr>
      </w:pPr>
      <w:r w:rsidRPr="004A4F63">
        <w:t>Causes significant visual or aesthetic impact due to solids or fungus or has a history of justified public complaint</w:t>
      </w:r>
      <w:r>
        <w:t>.</w:t>
      </w:r>
    </w:p>
    <w:p w14:paraId="0F9944BC" w14:textId="77777777" w:rsidR="00C00090" w:rsidRPr="004A4F63" w:rsidRDefault="00C00090" w:rsidP="00542F79">
      <w:pPr>
        <w:pStyle w:val="BodyText1"/>
        <w:numPr>
          <w:ilvl w:val="0"/>
          <w:numId w:val="24"/>
        </w:numPr>
      </w:pPr>
      <w:r w:rsidRPr="004A4F63">
        <w:t>Causes or makes a significant contribution to a deterioration in chemical or biological status</w:t>
      </w:r>
      <w:r>
        <w:t>.</w:t>
      </w:r>
    </w:p>
    <w:p w14:paraId="05EE8C95" w14:textId="77777777" w:rsidR="00C00090" w:rsidRPr="004A4F63" w:rsidRDefault="00C00090" w:rsidP="00542F79">
      <w:pPr>
        <w:pStyle w:val="BodyText1"/>
        <w:numPr>
          <w:ilvl w:val="0"/>
          <w:numId w:val="24"/>
        </w:numPr>
      </w:pPr>
      <w:r w:rsidRPr="004A4F63">
        <w:t>Causes or makes a significant contribution to a failure to comply with Bathing Water Quality Standards for identified bathing waters and/or Shellfish Waters</w:t>
      </w:r>
      <w:r>
        <w:t>.</w:t>
      </w:r>
    </w:p>
    <w:p w14:paraId="2B93F105" w14:textId="77777777" w:rsidR="00C00090" w:rsidRPr="004A4F63" w:rsidRDefault="00C00090" w:rsidP="00542F79">
      <w:pPr>
        <w:pStyle w:val="BodyText1"/>
        <w:numPr>
          <w:ilvl w:val="0"/>
          <w:numId w:val="24"/>
        </w:numPr>
      </w:pPr>
      <w:r w:rsidRPr="004A4F63">
        <w:t>Operates in dry weather conditions</w:t>
      </w:r>
      <w:r>
        <w:t>.</w:t>
      </w:r>
    </w:p>
    <w:p w14:paraId="65920BD4" w14:textId="77777777" w:rsidR="00C00090" w:rsidRPr="004A4F63" w:rsidRDefault="00C00090" w:rsidP="00542F79">
      <w:pPr>
        <w:pStyle w:val="BodyText1"/>
        <w:numPr>
          <w:ilvl w:val="0"/>
          <w:numId w:val="24"/>
        </w:numPr>
      </w:pPr>
      <w:r w:rsidRPr="004A4F63">
        <w:t>Operates in breach of licence conditions provided that they are still appropriate</w:t>
      </w:r>
      <w:r>
        <w:t>;</w:t>
      </w:r>
      <w:r w:rsidRPr="004A4F63">
        <w:t xml:space="preserve"> and/or</w:t>
      </w:r>
    </w:p>
    <w:p w14:paraId="2EDCBB01" w14:textId="77777777" w:rsidR="00C00090" w:rsidRPr="004A4F63" w:rsidRDefault="00C00090" w:rsidP="00542F79">
      <w:pPr>
        <w:pStyle w:val="BodyText1"/>
        <w:numPr>
          <w:ilvl w:val="0"/>
          <w:numId w:val="24"/>
        </w:numPr>
      </w:pPr>
      <w:r w:rsidRPr="004A4F63">
        <w:t xml:space="preserve">Causes a breach of water quality standards (EQS) or other EC Directive requirements. </w:t>
      </w:r>
    </w:p>
    <w:p w14:paraId="2A9DC4D4" w14:textId="3CF465B9" w:rsidR="00BA5484" w:rsidRDefault="00C00090" w:rsidP="007B7A6C">
      <w:pPr>
        <w:pStyle w:val="BodyText1"/>
      </w:pPr>
      <w:r w:rsidRPr="004A4F63">
        <w:t xml:space="preserve">An existing discharge which meets one or more of the above criteria is classed unsatisfactory and will require improvement to address the failing criteria only. For example, if the discharge is </w:t>
      </w:r>
      <w:r w:rsidRPr="004A4F63">
        <w:lastRenderedPageBreak/>
        <w:t>deemed unsatisfactory due to the presence of sewage solids in the watercourse, screening to the required standard will be the only substantial change when reviewing the licence.</w:t>
      </w:r>
    </w:p>
    <w:p w14:paraId="0CEF5EB8" w14:textId="3BAEE1FB" w:rsidR="00C00090" w:rsidRDefault="00C00090" w:rsidP="007B7A6C">
      <w:pPr>
        <w:pStyle w:val="BodyText1"/>
      </w:pPr>
      <w:r w:rsidRPr="00A60103">
        <w:t>Existing network overflows</w:t>
      </w:r>
      <w:r w:rsidRPr="00E16C78">
        <w:t xml:space="preserve"> </w:t>
      </w:r>
      <w:r w:rsidRPr="007B7A6C">
        <w:t>will</w:t>
      </w:r>
      <w:r w:rsidRPr="00E16C78">
        <w:t xml:space="preserve"> be licensed in the SNL on an ‘as is’ basis. If the overflows are unsatisfactory this </w:t>
      </w:r>
      <w:r w:rsidRPr="007B7A6C">
        <w:t>will</w:t>
      </w:r>
      <w:r w:rsidRPr="00E16C78">
        <w:t xml:space="preserve"> be dealt </w:t>
      </w:r>
      <w:r w:rsidRPr="00A60103">
        <w:t xml:space="preserve">with through SEPA’s Enforcement Policy and the agreed investment process. </w:t>
      </w:r>
    </w:p>
    <w:p w14:paraId="77470282" w14:textId="0E464352" w:rsidR="00C00090" w:rsidRPr="00A60103" w:rsidRDefault="00C00090" w:rsidP="007B7A6C">
      <w:pPr>
        <w:pStyle w:val="BodyText1"/>
      </w:pPr>
      <w:r w:rsidRPr="007B7A6C">
        <w:t>The first SEPA inspection focuses on checking of current licence conditions and is a verification audit. Any consequent corrections to licence conditions should be achieved by a SEPA initiated variation.</w:t>
      </w:r>
    </w:p>
    <w:p w14:paraId="57052A20" w14:textId="0C7BD502" w:rsidR="00C00090" w:rsidRDefault="00C00090" w:rsidP="007B7A6C">
      <w:pPr>
        <w:pStyle w:val="BodyText1"/>
      </w:pPr>
      <w:r w:rsidRPr="00A60103">
        <w:t>However</w:t>
      </w:r>
      <w:r>
        <w:t>,</w:t>
      </w:r>
      <w:r w:rsidRPr="00A60103">
        <w:t xml:space="preserve"> any subsequent changes that Scottish Water wish to make to the licence will be via an operator initiated variation, as per WAT-RM-09, WAT-SG-87 and the </w:t>
      </w:r>
      <w:hyperlink r:id="rId16" w:history="1">
        <w:r w:rsidRPr="00A60103">
          <w:rPr>
            <w:rStyle w:val="Hyperlink"/>
          </w:rPr>
          <w:t>SEPA Charging Scheme</w:t>
        </w:r>
      </w:hyperlink>
      <w:r w:rsidRPr="00A60103">
        <w:t xml:space="preserve">. </w:t>
      </w:r>
    </w:p>
    <w:p w14:paraId="7C2DE55D" w14:textId="532BEE76" w:rsidR="00C00090" w:rsidRPr="00647FC7" w:rsidRDefault="00C00090" w:rsidP="007B7A6C">
      <w:pPr>
        <w:pStyle w:val="BodyText1"/>
        <w:rPr>
          <w:rStyle w:val="Hyperlink"/>
        </w:rPr>
      </w:pPr>
      <w:r w:rsidRPr="007B7A6C">
        <w:t xml:space="preserve">Guidance on undertaking sewer network licence inspections is provided in </w:t>
      </w:r>
      <w:r w:rsidR="00647FC7">
        <w:fldChar w:fldCharType="begin"/>
      </w:r>
      <w:r w:rsidR="00647FC7">
        <w:instrText>HYPERLINK "https://www.sepa.org.uk/media/152983/wat_sg_87.pdf" \o "WAT-SG-87: Compliance Monitoring for Sewer Network Licences"</w:instrText>
      </w:r>
      <w:r w:rsidR="00647FC7">
        <w:fldChar w:fldCharType="separate"/>
      </w:r>
      <w:r w:rsidRPr="007B7A6C">
        <w:rPr>
          <w:rStyle w:val="Hyperlink"/>
        </w:rPr>
        <w:t>WAT-SG-87: Compliance Monitoring for Sewer Network Licences.</w:t>
      </w:r>
    </w:p>
    <w:p w14:paraId="07C51587" w14:textId="763B07DB" w:rsidR="00C00090" w:rsidRDefault="00647FC7" w:rsidP="00C00090">
      <w:r>
        <w:fldChar w:fldCharType="end"/>
      </w:r>
    </w:p>
    <w:p w14:paraId="2ED78F85" w14:textId="091860BC" w:rsidR="00C00090" w:rsidRDefault="00C00090" w:rsidP="00542F79">
      <w:pPr>
        <w:pStyle w:val="Heading2"/>
        <w:numPr>
          <w:ilvl w:val="1"/>
          <w:numId w:val="1"/>
        </w:numPr>
        <w:ind w:left="709" w:hanging="709"/>
        <w:rPr>
          <w:rFonts w:eastAsia="Times New Roman"/>
        </w:rPr>
      </w:pPr>
      <w:bookmarkStart w:id="7" w:name="_Toc178862611"/>
      <w:r>
        <w:rPr>
          <w:rFonts w:eastAsia="Times New Roman"/>
        </w:rPr>
        <w:t>Licen</w:t>
      </w:r>
      <w:r w:rsidR="00B421F0">
        <w:rPr>
          <w:rFonts w:eastAsia="Times New Roman"/>
        </w:rPr>
        <w:t>s</w:t>
      </w:r>
      <w:r w:rsidR="00E141D1">
        <w:rPr>
          <w:rFonts w:eastAsia="Times New Roman"/>
        </w:rPr>
        <w:t>ing</w:t>
      </w:r>
      <w:r>
        <w:rPr>
          <w:rFonts w:eastAsia="Times New Roman"/>
        </w:rPr>
        <w:t xml:space="preserve"> new CSOs or EOs</w:t>
      </w:r>
      <w:bookmarkEnd w:id="7"/>
    </w:p>
    <w:p w14:paraId="2F21F133" w14:textId="37A0D248" w:rsidR="00C00090" w:rsidRPr="00E8686D" w:rsidRDefault="00C00090" w:rsidP="007B7A6C">
      <w:pPr>
        <w:pStyle w:val="BodyText1"/>
      </w:pPr>
      <w:r w:rsidRPr="00E8686D">
        <w:t>Sewer flooding risks are expected to increase as a consequence of climate change.  These risks can be minimised by the progressive reduction of sources of surface water runoff into the combined sewer and reduction in groundwater infiltration into sewers.</w:t>
      </w:r>
    </w:p>
    <w:p w14:paraId="59B77F22" w14:textId="0FB5A433" w:rsidR="00C00090" w:rsidRDefault="00C00090" w:rsidP="007B7A6C">
      <w:pPr>
        <w:pStyle w:val="BodyText1"/>
      </w:pPr>
      <w:r w:rsidRPr="00E8686D">
        <w:t>As well as alleviating flood risk, reducing inflows to sewers has other benefits.  These include freeing up sewer capacity for future development, reducing pollution from CSOs, making the sewer network more adaptable and resilient to climate change, reducing the power consumed by pumping and treating the excess inflows and recharging groundwater supplies. By reducing surface water inflows to sewers, the need for new CSOs should therefore be kept to the absolute minimum.</w:t>
      </w:r>
    </w:p>
    <w:p w14:paraId="4668FE51" w14:textId="700BABA9" w:rsidR="00C00090" w:rsidRDefault="00C00090" w:rsidP="007B7A6C">
      <w:pPr>
        <w:pStyle w:val="BodyText1"/>
      </w:pPr>
      <w:r w:rsidRPr="00E8686D">
        <w:t>Measures that reduce surface water (and groundwater) in sewers shall be considered before new or increased CSO discharges on an existing sewerage system are implemented. However, a new CSO may be considered acceptable as long as there is no unacceptable water quality impact.</w:t>
      </w:r>
    </w:p>
    <w:p w14:paraId="7A406762" w14:textId="0CC8DC93" w:rsidR="00C00090" w:rsidRDefault="00414E03" w:rsidP="007B7A6C">
      <w:pPr>
        <w:pStyle w:val="BodyText1"/>
      </w:pPr>
      <w:r>
        <w:lastRenderedPageBreak/>
        <w:t xml:space="preserve">For applications for new EO </w:t>
      </w:r>
      <w:r w:rsidRPr="004A03E5">
        <w:t>r</w:t>
      </w:r>
      <w:r w:rsidR="00C00090" w:rsidRPr="004A03E5">
        <w:t xml:space="preserve">efer to </w:t>
      </w:r>
      <w:hyperlink w:anchor="_6._Pumping_station" w:history="1">
        <w:r w:rsidR="00C00090" w:rsidRPr="00F31935">
          <w:rPr>
            <w:rStyle w:val="Hyperlink"/>
          </w:rPr>
          <w:t xml:space="preserve">section </w:t>
        </w:r>
        <w:r w:rsidR="004A03E5" w:rsidRPr="00F31935">
          <w:rPr>
            <w:rStyle w:val="Hyperlink"/>
          </w:rPr>
          <w:t>6</w:t>
        </w:r>
      </w:hyperlink>
      <w:r w:rsidR="00C00090" w:rsidRPr="0051277A">
        <w:t>.</w:t>
      </w:r>
    </w:p>
    <w:p w14:paraId="723FD1F5" w14:textId="2C15C2E8" w:rsidR="00C00090" w:rsidRDefault="00C00090" w:rsidP="007B7A6C">
      <w:pPr>
        <w:pStyle w:val="BodyText1"/>
      </w:pPr>
      <w:r w:rsidRPr="007B770A">
        <w:t>When a new Scottish Water overflow is constructed, an application should be submitted to include it in the relevant network licence (unless it is within the boundary of a STW in which case this will be varied as part of the STW licence</w:t>
      </w:r>
      <w:r>
        <w:t>)</w:t>
      </w:r>
      <w:r w:rsidRPr="007B770A">
        <w:t xml:space="preserve">. </w:t>
      </w:r>
    </w:p>
    <w:p w14:paraId="19FC01F1" w14:textId="6739F6D8" w:rsidR="00C00090" w:rsidRDefault="00C00090" w:rsidP="007B7A6C">
      <w:pPr>
        <w:pStyle w:val="BodyText1"/>
      </w:pPr>
      <w:r w:rsidRPr="007B770A">
        <w:t>This will be achieved by an operator initiated variation, with the relevant variation fee based on the population equivalent of the sewer network flowing into that asset. Refer to the SEPA Charging Scheme guidance.</w:t>
      </w:r>
    </w:p>
    <w:p w14:paraId="6C753F35" w14:textId="0B6CDC9B" w:rsidR="00C00090" w:rsidRDefault="00C00090" w:rsidP="007B7A6C">
      <w:pPr>
        <w:pStyle w:val="BodyText1"/>
      </w:pPr>
      <w:r w:rsidRPr="007B770A">
        <w:t>The construction, modification or removal of an outfall at an overflow is considered as a dependent controlled activity that requires authorisation</w:t>
      </w:r>
      <w:r w:rsidRPr="001B17B7">
        <w:t xml:space="preserve">.  </w:t>
      </w:r>
      <w:r w:rsidRPr="007B7A6C">
        <w:t>The SNL template has a condition requiring the design and method statement for the outfall to be submitted and agreed by SEPA.</w:t>
      </w:r>
      <w:r w:rsidRPr="007B770A">
        <w:t xml:space="preserve">  This means </w:t>
      </w:r>
      <w:r w:rsidRPr="008A7614">
        <w:t xml:space="preserve">that an engineering licence variation will not be required when an outfall is constructed/modified/removed. </w:t>
      </w:r>
    </w:p>
    <w:p w14:paraId="6906B2BC" w14:textId="1DA0F979" w:rsidR="00C00090" w:rsidRPr="008A7614" w:rsidRDefault="00C00090" w:rsidP="007B7A6C">
      <w:pPr>
        <w:pStyle w:val="BodyText1"/>
      </w:pPr>
      <w:r w:rsidRPr="008A7614">
        <w:t xml:space="preserve">Further information in relation to the modification of a SNL is held in the Regulatory Method </w:t>
      </w:r>
      <w:hyperlink r:id="rId17" w:history="1">
        <w:r w:rsidRPr="001800E5">
          <w:rPr>
            <w:rStyle w:val="Hyperlink"/>
          </w:rPr>
          <w:t>WAT-RM-09: Modifications to CAR Authorisations.</w:t>
        </w:r>
      </w:hyperlink>
    </w:p>
    <w:p w14:paraId="72DDD2A4" w14:textId="2487D9CC" w:rsidR="002C6330" w:rsidRDefault="002C6330" w:rsidP="003B0C26"/>
    <w:p w14:paraId="1069894E" w14:textId="457A516D" w:rsidR="00180E42" w:rsidRPr="00B81A9F" w:rsidRDefault="00901D47" w:rsidP="00542F79">
      <w:pPr>
        <w:pStyle w:val="Heading1"/>
        <w:numPr>
          <w:ilvl w:val="0"/>
          <w:numId w:val="1"/>
        </w:numPr>
        <w:ind w:hanging="720"/>
        <w:rPr>
          <w:rFonts w:eastAsia="Times New Roman"/>
        </w:rPr>
      </w:pPr>
      <w:bookmarkStart w:id="8" w:name="_Toc178862612"/>
      <w:r>
        <w:rPr>
          <w:rFonts w:eastAsia="Times New Roman"/>
        </w:rPr>
        <w:t>Designing CSO</w:t>
      </w:r>
      <w:r w:rsidR="00AB12F0">
        <w:rPr>
          <w:rFonts w:eastAsia="Times New Roman"/>
        </w:rPr>
        <w:t>s</w:t>
      </w:r>
      <w:r>
        <w:rPr>
          <w:rFonts w:eastAsia="Times New Roman"/>
        </w:rPr>
        <w:t xml:space="preserve"> to pr</w:t>
      </w:r>
      <w:r w:rsidR="00967C13">
        <w:rPr>
          <w:rFonts w:eastAsia="Times New Roman"/>
        </w:rPr>
        <w:t>otect the water environment</w:t>
      </w:r>
      <w:bookmarkEnd w:id="8"/>
    </w:p>
    <w:p w14:paraId="70653EE6" w14:textId="77777777" w:rsidR="00877598" w:rsidRDefault="00877598" w:rsidP="007B7A6C">
      <w:pPr>
        <w:pStyle w:val="BodyText1"/>
      </w:pPr>
      <w:r w:rsidRPr="00877598">
        <w:t xml:space="preserve">CSOs can be located anywhere on the sewerage network: </w:t>
      </w:r>
    </w:p>
    <w:p w14:paraId="3386E812" w14:textId="77777777" w:rsidR="00877598" w:rsidRDefault="00877598" w:rsidP="00542F79">
      <w:pPr>
        <w:pStyle w:val="BodyText1"/>
        <w:numPr>
          <w:ilvl w:val="0"/>
          <w:numId w:val="25"/>
        </w:numPr>
      </w:pPr>
      <w:r>
        <w:t>O</w:t>
      </w:r>
      <w:r w:rsidRPr="00877598">
        <w:t>n a branch sewer remote from the STW</w:t>
      </w:r>
      <w:r>
        <w:t>.</w:t>
      </w:r>
    </w:p>
    <w:p w14:paraId="4465B8E4" w14:textId="77777777" w:rsidR="00877598" w:rsidRDefault="00877598" w:rsidP="00542F79">
      <w:pPr>
        <w:pStyle w:val="BodyText1"/>
        <w:numPr>
          <w:ilvl w:val="0"/>
          <w:numId w:val="25"/>
        </w:numPr>
      </w:pPr>
      <w:r>
        <w:t>A</w:t>
      </w:r>
      <w:r w:rsidRPr="00877598">
        <w:t xml:space="preserve">t a sewage pumping station; or </w:t>
      </w:r>
    </w:p>
    <w:p w14:paraId="4016597E" w14:textId="3EE79EFB" w:rsidR="00877598" w:rsidRDefault="00877598" w:rsidP="00542F79">
      <w:pPr>
        <w:pStyle w:val="BodyText1"/>
        <w:numPr>
          <w:ilvl w:val="0"/>
          <w:numId w:val="25"/>
        </w:numPr>
      </w:pPr>
      <w:r>
        <w:t>O</w:t>
      </w:r>
      <w:r w:rsidRPr="00877598">
        <w:t xml:space="preserve">n an inlet sewer to the STW. </w:t>
      </w:r>
    </w:p>
    <w:p w14:paraId="77C44321" w14:textId="35F62AC3" w:rsidR="00E6319E" w:rsidRDefault="00877598" w:rsidP="007B7A6C">
      <w:pPr>
        <w:pStyle w:val="BodyText1"/>
      </w:pPr>
      <w:r w:rsidRPr="00877598">
        <w:t xml:space="preserve">It is usually preferable to base the design of a CSO on the output of sewer hydraulic and water quality impact models. </w:t>
      </w:r>
      <w:r w:rsidR="008E211E" w:rsidRPr="007B7A6C">
        <w:rPr>
          <w:rFonts w:cs="Arial"/>
        </w:rPr>
        <w:t>Where there is a low risk to the water environment, termed a “low significan</w:t>
      </w:r>
      <w:r w:rsidR="002362F6" w:rsidRPr="007B7A6C">
        <w:rPr>
          <w:rFonts w:cs="Arial"/>
        </w:rPr>
        <w:t>ce</w:t>
      </w:r>
      <w:r w:rsidR="008E211E" w:rsidRPr="007B7A6C">
        <w:rPr>
          <w:rFonts w:cs="Arial"/>
        </w:rPr>
        <w:t xml:space="preserve"> discharge”</w:t>
      </w:r>
      <w:r w:rsidR="008E211E" w:rsidRPr="0051277A">
        <w:rPr>
          <w:rFonts w:cs="Arial"/>
          <w:color w:val="FF0000"/>
        </w:rPr>
        <w:t xml:space="preserve"> </w:t>
      </w:r>
      <w:r w:rsidRPr="0051277A">
        <w:t>the</w:t>
      </w:r>
      <w:r w:rsidRPr="00877598">
        <w:t xml:space="preserve"> cost of data collection for model construction or calibration may render this approach disproportionately expensive and incur significant delays in construction. </w:t>
      </w:r>
    </w:p>
    <w:p w14:paraId="39345B9F" w14:textId="1A5770CB" w:rsidR="00B1422F" w:rsidRDefault="00E6319E" w:rsidP="007B7A6C">
      <w:pPr>
        <w:pStyle w:val="BodyText1"/>
      </w:pPr>
      <w:r>
        <w:lastRenderedPageBreak/>
        <w:t xml:space="preserve">The </w:t>
      </w:r>
      <w:r w:rsidR="001800E5" w:rsidRPr="007B7A6C">
        <w:t>UWWTR Guidance Note</w:t>
      </w:r>
      <w:r>
        <w:t xml:space="preserve"> and the </w:t>
      </w:r>
      <w:hyperlink r:id="rId18" w:history="1">
        <w:r>
          <w:rPr>
            <w:rStyle w:val="Hyperlink"/>
          </w:rPr>
          <w:t>Urban Pollution Management Manual</w:t>
        </w:r>
      </w:hyperlink>
      <w:r>
        <w:t xml:space="preserve"> (UPM) advocate </w:t>
      </w:r>
      <w:r w:rsidR="006E5244">
        <w:t>a</w:t>
      </w:r>
      <w:r>
        <w:t xml:space="preserve"> graduated assessment of the level of investigation required to determine the impact of a CSO discharge on the receiving waters.</w:t>
      </w:r>
      <w:r w:rsidRPr="00E6319E">
        <w:t xml:space="preserve"> </w:t>
      </w:r>
      <w:r>
        <w:t>Any network improvements must be agreed and delivered via the Quality and Standards (Q &amp; S) investment process.</w:t>
      </w:r>
    </w:p>
    <w:p w14:paraId="68F9BFBF" w14:textId="6537F995" w:rsidR="00B1422F" w:rsidRDefault="004D57DF" w:rsidP="007B7A6C">
      <w:pPr>
        <w:pStyle w:val="Heading2"/>
      </w:pPr>
      <w:bookmarkStart w:id="9" w:name="_4.1._CSO_discharges"/>
      <w:bookmarkStart w:id="10" w:name="_Toc178862613"/>
      <w:bookmarkEnd w:id="9"/>
      <w:r>
        <w:t>4</w:t>
      </w:r>
      <w:r w:rsidR="00B1422F">
        <w:t>.1.</w:t>
      </w:r>
      <w:r w:rsidR="00B1422F">
        <w:tab/>
        <w:t xml:space="preserve">CSO discharges to </w:t>
      </w:r>
      <w:r w:rsidR="00C07B29">
        <w:t>watercourses</w:t>
      </w:r>
      <w:bookmarkEnd w:id="10"/>
    </w:p>
    <w:p w14:paraId="159A79AE" w14:textId="5709850E" w:rsidR="00B87B00" w:rsidRDefault="00CA1444" w:rsidP="007B7A6C">
      <w:pPr>
        <w:pStyle w:val="BodyText1"/>
        <w:rPr>
          <w:rFonts w:cs="Arial"/>
        </w:rPr>
      </w:pPr>
      <w:r>
        <w:t>Fo</w:t>
      </w:r>
      <w:r w:rsidR="00CB46F0">
        <w:t>r</w:t>
      </w:r>
      <w:r>
        <w:t xml:space="preserve"> low significance discharges to inland waters </w:t>
      </w:r>
      <w:r w:rsidR="00877598" w:rsidRPr="00877598">
        <w:t xml:space="preserve">accepted practice </w:t>
      </w:r>
      <w:r>
        <w:t xml:space="preserve">is </w:t>
      </w:r>
      <w:r w:rsidR="00877598" w:rsidRPr="00877598">
        <w:t>to require flows up to the equivalent to "Formula A" to be passed forward to the treatment works and flows in excess of this can discharge to the watercourse.</w:t>
      </w:r>
      <w:r w:rsidR="00877598">
        <w:t xml:space="preserve"> </w:t>
      </w:r>
      <w:r w:rsidR="00877598" w:rsidRPr="00877598">
        <w:t>Formula A is calculated according to the type of sewer catchment</w:t>
      </w:r>
      <w:r w:rsidR="00877598" w:rsidRPr="00B87B00">
        <w:t>.</w:t>
      </w:r>
      <w:r w:rsidR="00264C6A" w:rsidRPr="007B7A6C">
        <w:rPr>
          <w:rFonts w:cs="Arial"/>
        </w:rPr>
        <w:t xml:space="preserve"> </w:t>
      </w:r>
    </w:p>
    <w:p w14:paraId="3867EBC9" w14:textId="1AEC0CC4" w:rsidR="00B87B00" w:rsidRPr="007B7A6C" w:rsidRDefault="006554A7" w:rsidP="007B7A6C">
      <w:pPr>
        <w:pStyle w:val="BodyText1"/>
        <w:rPr>
          <w:rFonts w:cs="Arial"/>
        </w:rPr>
      </w:pPr>
      <w:r>
        <w:t xml:space="preserve"> </w:t>
      </w:r>
      <w:r w:rsidR="00737E1C" w:rsidRPr="007B7A6C">
        <w:rPr>
          <w:rFonts w:cs="Arial"/>
        </w:rPr>
        <w:t xml:space="preserve">As dilution decreases and risk to the water environment increases </w:t>
      </w:r>
      <w:r w:rsidR="00D04165" w:rsidRPr="007B7A6C">
        <w:rPr>
          <w:rFonts w:cs="Arial"/>
        </w:rPr>
        <w:t>discharge become of</w:t>
      </w:r>
      <w:r w:rsidR="00737E1C" w:rsidRPr="007B7A6C">
        <w:rPr>
          <w:rFonts w:cs="Arial"/>
        </w:rPr>
        <w:t xml:space="preserve"> “medium or high significance” </w:t>
      </w:r>
      <w:r w:rsidR="00D04165" w:rsidRPr="007B7A6C">
        <w:rPr>
          <w:rFonts w:cs="Arial"/>
        </w:rPr>
        <w:t xml:space="preserve">and </w:t>
      </w:r>
      <w:r w:rsidR="00737E1C" w:rsidRPr="007B7A6C">
        <w:rPr>
          <w:rFonts w:cs="Arial"/>
        </w:rPr>
        <w:t>need progressively more detailed catchment modelling and water quality impact assessment.</w:t>
      </w:r>
    </w:p>
    <w:p w14:paraId="318A3468" w14:textId="5A762D28" w:rsidR="006B4DC5" w:rsidRPr="00222F30" w:rsidRDefault="00B87B00" w:rsidP="007B7A6C">
      <w:pPr>
        <w:pStyle w:val="BodyText1"/>
      </w:pPr>
      <w:r w:rsidRPr="00222F30">
        <w:t>Formula A produces a more protective solution than 99%iles using simple modelling required for medium significance d</w:t>
      </w:r>
      <w:r w:rsidR="00941DD8">
        <w:t>i</w:t>
      </w:r>
      <w:r w:rsidRPr="00222F30">
        <w:t>scharges, and similarly 99%iles result in a more protective solution than FIS standards using complex modelling. However, this assumption may not be valid in all circumstances</w:t>
      </w:r>
      <w:r w:rsidR="006B4DC5" w:rsidRPr="00222F30">
        <w:t>.</w:t>
      </w:r>
    </w:p>
    <w:p w14:paraId="0D6A5E28" w14:textId="7B765774" w:rsidR="00737E1C" w:rsidRDefault="006B4DC5" w:rsidP="00EA09AF">
      <w:pPr>
        <w:pStyle w:val="BodyText1"/>
      </w:pPr>
      <w:r w:rsidRPr="00222F30">
        <w:t xml:space="preserve">The </w:t>
      </w:r>
      <w:r w:rsidR="005254E1" w:rsidRPr="00222F30">
        <w:t xml:space="preserve">general approach to be taken is set out below but the </w:t>
      </w:r>
      <w:r w:rsidRPr="00222F30">
        <w:t xml:space="preserve">approach to be adopted </w:t>
      </w:r>
      <w:r w:rsidRPr="007B7A6C">
        <w:t>should be</w:t>
      </w:r>
      <w:r w:rsidRPr="00222F30">
        <w:t xml:space="preserve"> agreed with </w:t>
      </w:r>
      <w:r w:rsidRPr="007B7A6C">
        <w:t>SEPA</w:t>
      </w:r>
      <w:r w:rsidR="005254E1" w:rsidRPr="007B7A6C">
        <w:t>’s</w:t>
      </w:r>
      <w:r w:rsidRPr="00222F30">
        <w:t xml:space="preserve"> </w:t>
      </w:r>
      <w:r w:rsidR="005254E1" w:rsidRPr="00222F30">
        <w:t>Informatics / ESIU (Environmental and Spatial Informatics Assessment Unit)</w:t>
      </w:r>
      <w:r w:rsidR="00655D5B" w:rsidRPr="00222F30">
        <w:t xml:space="preserve"> </w:t>
      </w:r>
      <w:r w:rsidRPr="00222F30">
        <w:t xml:space="preserve">at pre-application discussion stage. </w:t>
      </w:r>
    </w:p>
    <w:p w14:paraId="742E0BEA" w14:textId="695C87B9" w:rsidR="000F38A7" w:rsidRDefault="004D57DF" w:rsidP="009F34E1">
      <w:pPr>
        <w:pStyle w:val="Heading3"/>
        <w:rPr>
          <w:rFonts w:eastAsia="Times New Roman"/>
          <w:lang w:eastAsia="en-GB"/>
        </w:rPr>
      </w:pPr>
      <w:bookmarkStart w:id="11" w:name="_Toc178862614"/>
      <w:r>
        <w:rPr>
          <w:rFonts w:eastAsia="Times New Roman"/>
          <w:lang w:eastAsia="en-GB"/>
        </w:rPr>
        <w:t>4</w:t>
      </w:r>
      <w:r w:rsidR="009F34E1">
        <w:rPr>
          <w:rFonts w:eastAsia="Times New Roman"/>
          <w:lang w:eastAsia="en-GB"/>
        </w:rPr>
        <w:t>.1.1</w:t>
      </w:r>
      <w:r w:rsidR="009F34E1">
        <w:rPr>
          <w:rFonts w:eastAsia="Times New Roman"/>
          <w:lang w:eastAsia="en-GB"/>
        </w:rPr>
        <w:tab/>
      </w:r>
      <w:r w:rsidR="000F38A7">
        <w:rPr>
          <w:rFonts w:eastAsia="Times New Roman"/>
          <w:lang w:eastAsia="en-GB"/>
        </w:rPr>
        <w:t>Low significance discharges</w:t>
      </w:r>
      <w:bookmarkEnd w:id="11"/>
    </w:p>
    <w:p w14:paraId="258C1322" w14:textId="77777777" w:rsidR="000F38A7" w:rsidRDefault="000F38A7" w:rsidP="007B7A6C">
      <w:pPr>
        <w:pStyle w:val="BodyText1"/>
        <w:rPr>
          <w:lang w:eastAsia="en-GB"/>
        </w:rPr>
      </w:pPr>
      <w:r>
        <w:rPr>
          <w:lang w:eastAsia="en-GB"/>
        </w:rPr>
        <w:t>Low significance discharges are where:</w:t>
      </w:r>
    </w:p>
    <w:p w14:paraId="09C6D466" w14:textId="77777777" w:rsidR="000F38A7" w:rsidRPr="00526A67" w:rsidRDefault="000F38A7" w:rsidP="00542F79">
      <w:pPr>
        <w:pStyle w:val="BodyText1"/>
        <w:numPr>
          <w:ilvl w:val="0"/>
          <w:numId w:val="26"/>
        </w:numPr>
        <w:rPr>
          <w:rFonts w:cs="Arial"/>
        </w:rPr>
      </w:pPr>
      <w:r>
        <w:rPr>
          <w:rFonts w:cs="Arial"/>
        </w:rPr>
        <w:t>The d</w:t>
      </w:r>
      <w:r w:rsidRPr="00526A67">
        <w:rPr>
          <w:rFonts w:cs="Arial"/>
        </w:rPr>
        <w:t xml:space="preserve">ilution </w:t>
      </w:r>
      <w:r>
        <w:rPr>
          <w:rFonts w:cs="Arial"/>
        </w:rPr>
        <w:t xml:space="preserve">is </w:t>
      </w:r>
      <w:r w:rsidRPr="00526A67">
        <w:rPr>
          <w:rFonts w:cs="Arial"/>
        </w:rPr>
        <w:t xml:space="preserve">greater than 8:1 </w:t>
      </w:r>
      <w:r w:rsidRPr="00222F30">
        <w:rPr>
          <w:rFonts w:cs="Arial"/>
        </w:rPr>
        <w:t>(</w:t>
      </w:r>
      <w:r w:rsidRPr="007B7A6C">
        <w:rPr>
          <w:rFonts w:cs="Arial"/>
        </w:rPr>
        <w:t>DWF @ 5% low river flows); and</w:t>
      </w:r>
    </w:p>
    <w:p w14:paraId="2BCF06C0" w14:textId="77777777" w:rsidR="000F38A7" w:rsidRPr="00526A67" w:rsidRDefault="000F38A7" w:rsidP="00542F79">
      <w:pPr>
        <w:pStyle w:val="BodyText1"/>
        <w:numPr>
          <w:ilvl w:val="0"/>
          <w:numId w:val="26"/>
        </w:numPr>
        <w:rPr>
          <w:rFonts w:cs="Arial"/>
        </w:rPr>
      </w:pPr>
      <w:r w:rsidRPr="00526A67">
        <w:rPr>
          <w:rFonts w:cs="Arial"/>
        </w:rPr>
        <w:t>There is no interaction with other discharges; and</w:t>
      </w:r>
    </w:p>
    <w:p w14:paraId="5D0CB494" w14:textId="67B1C3E2" w:rsidR="000F38A7" w:rsidRPr="00EA09AF" w:rsidRDefault="000F38A7" w:rsidP="00542F79">
      <w:pPr>
        <w:pStyle w:val="BodyText1"/>
        <w:numPr>
          <w:ilvl w:val="0"/>
          <w:numId w:val="26"/>
        </w:numPr>
        <w:rPr>
          <w:rFonts w:cs="Arial"/>
        </w:rPr>
      </w:pPr>
      <w:r w:rsidRPr="00526A67">
        <w:rPr>
          <w:rFonts w:cs="Arial"/>
        </w:rPr>
        <w:t>The population equivalent is less than 10,000</w:t>
      </w:r>
      <w:r>
        <w:rPr>
          <w:rFonts w:cs="Arial"/>
        </w:rPr>
        <w:t>.</w:t>
      </w:r>
    </w:p>
    <w:p w14:paraId="71542713" w14:textId="277C2D8B" w:rsidR="000F38A7" w:rsidRDefault="000F38A7" w:rsidP="007B7A6C">
      <w:pPr>
        <w:pStyle w:val="BodyText1"/>
      </w:pPr>
      <w:r w:rsidRPr="007B7A6C">
        <w:t>All 3 criteria should apply</w:t>
      </w:r>
      <w:r w:rsidR="0087787C">
        <w:t xml:space="preserve">. </w:t>
      </w:r>
      <w:r w:rsidRPr="007B7A6C">
        <w:t xml:space="preserve"> </w:t>
      </w:r>
      <w:r w:rsidR="0087787C">
        <w:t>I</w:t>
      </w:r>
      <w:r w:rsidRPr="007B7A6C">
        <w:t>f not</w:t>
      </w:r>
      <w:r w:rsidR="00C0436D">
        <w:t>,</w:t>
      </w:r>
      <w:r w:rsidRPr="007B7A6C">
        <w:t xml:space="preserve"> </w:t>
      </w:r>
      <w:r w:rsidR="00217333">
        <w:t>you should refer to</w:t>
      </w:r>
      <w:r>
        <w:t xml:space="preserve"> </w:t>
      </w:r>
      <w:r w:rsidR="00C0436D">
        <w:t xml:space="preserve">the </w:t>
      </w:r>
      <w:r w:rsidR="00894248" w:rsidRPr="007B7A6C">
        <w:t>m</w:t>
      </w:r>
      <w:r w:rsidRPr="007B7A6C">
        <w:t>edium significance criteria.</w:t>
      </w:r>
    </w:p>
    <w:p w14:paraId="68B0495B" w14:textId="357A082C" w:rsidR="000F38A7" w:rsidRPr="00A3439D" w:rsidRDefault="000F38A7" w:rsidP="007B7A6C">
      <w:pPr>
        <w:pStyle w:val="BodyText1"/>
      </w:pPr>
      <w:r w:rsidRPr="00A3439D">
        <w:lastRenderedPageBreak/>
        <w:t>Minimum pass forward flow at overflows based on Formula A will normally be adequate. This assumes that available dilution will be sufficient to protect the river quality. Where an environmental problem is known, more detailed modelling may be required.</w:t>
      </w:r>
    </w:p>
    <w:p w14:paraId="63E585A0" w14:textId="77777777" w:rsidR="000F38A7" w:rsidRDefault="000F38A7" w:rsidP="00877598"/>
    <w:p w14:paraId="3D3A5262" w14:textId="2AEDEB8B" w:rsidR="001F49B1" w:rsidRPr="007B7A6C" w:rsidRDefault="001F49B1" w:rsidP="009F34E1">
      <w:pPr>
        <w:pStyle w:val="Heading4"/>
      </w:pPr>
      <w:r w:rsidRPr="007B7A6C">
        <w:t>Formula A for a fully combined system</w:t>
      </w:r>
    </w:p>
    <w:p w14:paraId="3232C5E5" w14:textId="77777777" w:rsidR="001F49B1" w:rsidRPr="001F49B1" w:rsidRDefault="001F49B1" w:rsidP="007B7A6C">
      <w:pPr>
        <w:pStyle w:val="BodyText1"/>
      </w:pPr>
      <w:r w:rsidRPr="001F49B1">
        <w:t>Formula A = DWF + 1360P + 2E</w:t>
      </w:r>
    </w:p>
    <w:p w14:paraId="60DEBF53" w14:textId="77777777" w:rsidR="001F49B1" w:rsidRPr="001F49B1" w:rsidRDefault="001F49B1" w:rsidP="007B7A6C">
      <w:pPr>
        <w:pStyle w:val="BodyText1"/>
      </w:pPr>
      <w:r w:rsidRPr="001F49B1">
        <w:t>Where DWF = PG + I</w:t>
      </w:r>
      <w:r w:rsidRPr="001F49B1">
        <w:rPr>
          <w:vertAlign w:val="subscript"/>
        </w:rPr>
        <w:t>max</w:t>
      </w:r>
      <w:r w:rsidRPr="001F49B1">
        <w:t xml:space="preserve"> + E</w:t>
      </w:r>
    </w:p>
    <w:p w14:paraId="5C5ECAE3" w14:textId="77777777" w:rsidR="001F49B1" w:rsidRPr="001F49B1" w:rsidRDefault="001F49B1" w:rsidP="007B7A6C">
      <w:pPr>
        <w:pStyle w:val="BodyText1"/>
      </w:pPr>
      <w:r w:rsidRPr="001F49B1">
        <w:t>Where:</w:t>
      </w:r>
    </w:p>
    <w:p w14:paraId="3B9A4A58" w14:textId="77777777" w:rsidR="001F49B1" w:rsidRPr="001F49B1" w:rsidRDefault="001F49B1" w:rsidP="007B7A6C">
      <w:pPr>
        <w:pStyle w:val="BodyText1"/>
      </w:pPr>
      <w:r w:rsidRPr="001F49B1">
        <w:t>P = Population served</w:t>
      </w:r>
    </w:p>
    <w:p w14:paraId="2922F0AE" w14:textId="77777777" w:rsidR="001F49B1" w:rsidRPr="001F49B1" w:rsidRDefault="001F49B1" w:rsidP="007B7A6C">
      <w:pPr>
        <w:pStyle w:val="BodyText1"/>
      </w:pPr>
      <w:r w:rsidRPr="001F49B1">
        <w:t xml:space="preserve">G = Water consumption / head / day (typically 150 litres) </w:t>
      </w:r>
    </w:p>
    <w:p w14:paraId="3C780D77" w14:textId="77777777" w:rsidR="001F49B1" w:rsidRPr="001F49B1" w:rsidRDefault="001F49B1" w:rsidP="007B7A6C">
      <w:pPr>
        <w:pStyle w:val="BodyText1"/>
      </w:pPr>
      <w:r w:rsidRPr="001F49B1">
        <w:t>I</w:t>
      </w:r>
      <w:r w:rsidRPr="001F49B1">
        <w:rPr>
          <w:vertAlign w:val="subscript"/>
        </w:rPr>
        <w:t>Max</w:t>
      </w:r>
      <w:r w:rsidRPr="001F49B1">
        <w:t xml:space="preserve">= maximum possible infiltration </w:t>
      </w:r>
    </w:p>
    <w:p w14:paraId="45DFC2AE" w14:textId="1E459978" w:rsidR="001F49B1" w:rsidRPr="00941DD8" w:rsidRDefault="001F49B1" w:rsidP="007B7A6C">
      <w:pPr>
        <w:pStyle w:val="BodyText1"/>
      </w:pPr>
      <w:r w:rsidRPr="001F49B1">
        <w:t xml:space="preserve">E = Trade Effluent Flow (litres) </w:t>
      </w:r>
    </w:p>
    <w:p w14:paraId="60872F9C" w14:textId="4DEE9C90" w:rsidR="001F49B1" w:rsidRPr="00877598" w:rsidRDefault="001F49B1" w:rsidP="00EA09AF">
      <w:pPr>
        <w:pStyle w:val="BodyText1"/>
      </w:pPr>
      <w:r w:rsidRPr="00941DD8">
        <w:t>The figure used for infiltration I, I</w:t>
      </w:r>
      <w:r w:rsidRPr="007B7A6C">
        <w:t xml:space="preserve">max </w:t>
      </w:r>
      <w:r w:rsidRPr="00941DD8">
        <w:t xml:space="preserve">is the maximum possible infiltration rate.  This is because the overflow setting of Formula A needs to be appropriate throughout the year (see </w:t>
      </w:r>
      <w:hyperlink r:id="rId19" w:history="1">
        <w:r w:rsidRPr="00956336">
          <w:rPr>
            <w:rStyle w:val="Hyperlink"/>
          </w:rPr>
          <w:t>WAT-SG-13</w:t>
        </w:r>
      </w:hyperlink>
      <w:r w:rsidRPr="00941DD8">
        <w:t xml:space="preserve"> for more information regarding I</w:t>
      </w:r>
      <w:r w:rsidRPr="007B7A6C">
        <w:t>max</w:t>
      </w:r>
      <w:r w:rsidRPr="00941DD8">
        <w:t>).</w:t>
      </w:r>
    </w:p>
    <w:p w14:paraId="0C726D96" w14:textId="12A3266E" w:rsidR="001F49B1" w:rsidRPr="00684F5A" w:rsidRDefault="001F49B1" w:rsidP="001F49B1">
      <w:pPr>
        <w:pStyle w:val="Heading4"/>
        <w:rPr>
          <w:rFonts w:eastAsia="Times New Roman"/>
        </w:rPr>
      </w:pPr>
      <w:r>
        <w:rPr>
          <w:rFonts w:eastAsia="Times New Roman"/>
        </w:rPr>
        <w:t>Formula A for a fully separate system</w:t>
      </w:r>
    </w:p>
    <w:p w14:paraId="05524BB4" w14:textId="77777777" w:rsidR="001F49B1" w:rsidRPr="001F49B1" w:rsidRDefault="001F49B1" w:rsidP="007B7A6C">
      <w:pPr>
        <w:pStyle w:val="BodyText1"/>
      </w:pPr>
      <w:r w:rsidRPr="001F49B1">
        <w:t>Flow to full treatment, Formula A = 3DWF = 3PG + I</w:t>
      </w:r>
      <w:r w:rsidRPr="001F49B1">
        <w:rPr>
          <w:vertAlign w:val="subscript"/>
        </w:rPr>
        <w:t>max</w:t>
      </w:r>
      <w:r w:rsidRPr="001F49B1">
        <w:t xml:space="preserve"> + 3E</w:t>
      </w:r>
    </w:p>
    <w:p w14:paraId="412EE74C" w14:textId="77777777" w:rsidR="001F49B1" w:rsidRPr="001F49B1" w:rsidRDefault="001F49B1" w:rsidP="007B7A6C">
      <w:pPr>
        <w:pStyle w:val="BodyText1"/>
      </w:pPr>
      <w:r w:rsidRPr="001F49B1">
        <w:t>(The multiple of 3 for domestic and trade effluents allows for normal variations of these flows throughout the day, whereas infiltration does not vary significantly during the day).</w:t>
      </w:r>
    </w:p>
    <w:p w14:paraId="05E0A255" w14:textId="78E296B2" w:rsidR="001F49B1" w:rsidRPr="00684F5A" w:rsidRDefault="001F49B1" w:rsidP="001F49B1">
      <w:pPr>
        <w:pStyle w:val="Heading4"/>
        <w:rPr>
          <w:rFonts w:eastAsia="Times New Roman"/>
        </w:rPr>
      </w:pPr>
      <w:r>
        <w:rPr>
          <w:rFonts w:eastAsia="Times New Roman"/>
        </w:rPr>
        <w:t>Formula A for a part combined and part separate system</w:t>
      </w:r>
    </w:p>
    <w:p w14:paraId="2152BD15" w14:textId="77777777" w:rsidR="001F49B1" w:rsidRPr="001F49B1" w:rsidRDefault="001F49B1" w:rsidP="007B7A6C">
      <w:pPr>
        <w:pStyle w:val="BodyText1"/>
      </w:pPr>
      <w:r w:rsidRPr="001F49B1">
        <w:t>If there is a significant proportion of the catchment draining to a separate system use:</w:t>
      </w:r>
    </w:p>
    <w:p w14:paraId="3D69A75C" w14:textId="34219A22" w:rsidR="001F49B1" w:rsidRDefault="001F49B1" w:rsidP="007B7A6C">
      <w:pPr>
        <w:pStyle w:val="BodyText1"/>
      </w:pPr>
      <w:r w:rsidRPr="001F49B1">
        <w:t>Flow to full treatment, Formula A = DWF + 1360Pc + 2PsG + 2Et</w:t>
      </w:r>
    </w:p>
    <w:p w14:paraId="10CF4636" w14:textId="688B2725" w:rsidR="001F49B1" w:rsidRPr="001F49B1" w:rsidRDefault="001F49B1" w:rsidP="007B7A6C">
      <w:pPr>
        <w:pStyle w:val="BodyText1"/>
      </w:pPr>
      <w:r w:rsidRPr="001F49B1">
        <w:t>Where:</w:t>
      </w:r>
    </w:p>
    <w:p w14:paraId="7AC53B7D" w14:textId="77777777" w:rsidR="001F49B1" w:rsidRPr="001F49B1" w:rsidRDefault="001F49B1" w:rsidP="007B7A6C">
      <w:pPr>
        <w:pStyle w:val="BodyText1"/>
      </w:pPr>
      <w:r w:rsidRPr="001F49B1">
        <w:lastRenderedPageBreak/>
        <w:t xml:space="preserve">Pc = population served by combined sewer </w:t>
      </w:r>
    </w:p>
    <w:p w14:paraId="7B881B40" w14:textId="77777777" w:rsidR="001F49B1" w:rsidRPr="001F49B1" w:rsidRDefault="001F49B1" w:rsidP="007B7A6C">
      <w:pPr>
        <w:pStyle w:val="BodyText1"/>
      </w:pPr>
      <w:r w:rsidRPr="001F49B1">
        <w:t>Ps = population served by separate foul sewer</w:t>
      </w:r>
    </w:p>
    <w:p w14:paraId="68F9DF5F" w14:textId="23132F22" w:rsidR="001F49B1" w:rsidRPr="001F49B1" w:rsidRDefault="001F49B1" w:rsidP="007B7A6C">
      <w:pPr>
        <w:pStyle w:val="BodyText1"/>
      </w:pPr>
      <w:r w:rsidRPr="001F49B1">
        <w:t>Et = trade flows from the total area</w:t>
      </w:r>
    </w:p>
    <w:p w14:paraId="54FB32C0" w14:textId="77777777" w:rsidR="001F49B1" w:rsidRPr="001F49B1" w:rsidRDefault="001F49B1" w:rsidP="007B7A6C">
      <w:pPr>
        <w:pStyle w:val="BodyText1"/>
      </w:pPr>
      <w:r w:rsidRPr="001F49B1">
        <w:t>DWF = Pt G + It + Et</w:t>
      </w:r>
    </w:p>
    <w:p w14:paraId="24171F7A" w14:textId="77777777" w:rsidR="001F49B1" w:rsidRPr="001F49B1" w:rsidRDefault="001F49B1" w:rsidP="007B7A6C">
      <w:pPr>
        <w:pStyle w:val="BodyText1"/>
      </w:pPr>
      <w:r w:rsidRPr="001F49B1">
        <w:t>Pt = total population</w:t>
      </w:r>
    </w:p>
    <w:p w14:paraId="5ABBCED9" w14:textId="5B428881" w:rsidR="001F49B1" w:rsidRDefault="001F49B1" w:rsidP="007B7A6C">
      <w:pPr>
        <w:pStyle w:val="BodyText1"/>
      </w:pPr>
      <w:r w:rsidRPr="001F49B1">
        <w:t>It = total infiltration I</w:t>
      </w:r>
      <w:r w:rsidRPr="001F49B1">
        <w:rPr>
          <w:vertAlign w:val="subscript"/>
        </w:rPr>
        <w:t>max</w:t>
      </w:r>
    </w:p>
    <w:p w14:paraId="079D9D66" w14:textId="782FC1B0" w:rsidR="001F49B1" w:rsidRDefault="00AD6766" w:rsidP="007B7A6C">
      <w:pPr>
        <w:pStyle w:val="BodyText1"/>
      </w:pPr>
      <w:r w:rsidRPr="007B7A6C">
        <w:t>It</w:t>
      </w:r>
      <w:r w:rsidR="001F49B1" w:rsidRPr="001F49B1">
        <w:t xml:space="preserve"> is suggested that, in catchments where less than 20% drains to separate sewers, the simpler combined formula should be used.</w:t>
      </w:r>
    </w:p>
    <w:p w14:paraId="48B70B25" w14:textId="73A1485A" w:rsidR="001F49B1" w:rsidRDefault="001F49B1" w:rsidP="007B7A6C">
      <w:pPr>
        <w:pStyle w:val="BodyText1"/>
      </w:pPr>
      <w:r w:rsidRPr="001F49B1">
        <w:t xml:space="preserve">Formula A normally equates to approximately seven times the value of the Dry Weather Flow. </w:t>
      </w:r>
    </w:p>
    <w:p w14:paraId="039828F5" w14:textId="468F2325" w:rsidR="001F49B1" w:rsidRDefault="001F49B1" w:rsidP="007B7A6C">
      <w:pPr>
        <w:pStyle w:val="BodyText1"/>
      </w:pPr>
      <w:r w:rsidRPr="001F49B1">
        <w:t xml:space="preserve">Retention of flows (by for example, including a storm tank at the network CSO) in excess of Formula A may be required, depending on the available dilution. This is outlined later in this guidance (see </w:t>
      </w:r>
      <w:hyperlink w:anchor="_5._Designing_Storm" w:history="1">
        <w:r w:rsidRPr="00860BA6">
          <w:rPr>
            <w:rStyle w:val="Hyperlink"/>
          </w:rPr>
          <w:t xml:space="preserve">section </w:t>
        </w:r>
        <w:r w:rsidR="00860BA6" w:rsidRPr="00860BA6">
          <w:rPr>
            <w:rStyle w:val="Hyperlink"/>
          </w:rPr>
          <w:t>5</w:t>
        </w:r>
      </w:hyperlink>
      <w:r w:rsidR="00860BA6">
        <w:t>.</w:t>
      </w:r>
      <w:r w:rsidRPr="001F49B1">
        <w:t xml:space="preserve">). </w:t>
      </w:r>
    </w:p>
    <w:p w14:paraId="56BD0578" w14:textId="6EAEF0B9" w:rsidR="00877598" w:rsidRDefault="001F49B1" w:rsidP="00EA09AF">
      <w:pPr>
        <w:pStyle w:val="BodyText1"/>
      </w:pPr>
      <w:r w:rsidRPr="001F49B1">
        <w:t>In dry weather, instantaneous flows can increase substantially due to diurnal variation during peak periods, e.g. early morning and evening. However, peak flows may not arrive at the STW until several hours later depending on the size of the sewerage network, pumping station operation etc.</w:t>
      </w:r>
    </w:p>
    <w:p w14:paraId="01444452" w14:textId="305FD471" w:rsidR="00E03EB5" w:rsidRDefault="004D57DF" w:rsidP="009F34E1">
      <w:pPr>
        <w:pStyle w:val="Heading3"/>
        <w:rPr>
          <w:rFonts w:eastAsia="Times New Roman"/>
          <w:lang w:eastAsia="en-GB"/>
        </w:rPr>
      </w:pPr>
      <w:bookmarkStart w:id="12" w:name="_Toc178862615"/>
      <w:r>
        <w:rPr>
          <w:rFonts w:eastAsia="Times New Roman"/>
          <w:lang w:eastAsia="en-GB"/>
        </w:rPr>
        <w:t>4</w:t>
      </w:r>
      <w:r w:rsidR="009F34E1">
        <w:rPr>
          <w:rFonts w:eastAsia="Times New Roman"/>
          <w:lang w:eastAsia="en-GB"/>
        </w:rPr>
        <w:t>.1.2</w:t>
      </w:r>
      <w:r w:rsidR="00EA1BCC">
        <w:rPr>
          <w:rFonts w:eastAsia="Times New Roman"/>
          <w:lang w:eastAsia="en-GB"/>
        </w:rPr>
        <w:tab/>
      </w:r>
      <w:r w:rsidR="00E03EB5">
        <w:rPr>
          <w:rFonts w:eastAsia="Times New Roman"/>
          <w:lang w:eastAsia="en-GB"/>
        </w:rPr>
        <w:t>Medium significance discharges</w:t>
      </w:r>
      <w:bookmarkEnd w:id="12"/>
    </w:p>
    <w:p w14:paraId="32FDA80D" w14:textId="7EA74952" w:rsidR="00E03EB5" w:rsidRDefault="00E03EB5" w:rsidP="007B7A6C">
      <w:pPr>
        <w:pStyle w:val="BodyText1"/>
        <w:rPr>
          <w:lang w:eastAsia="en-GB"/>
        </w:rPr>
      </w:pPr>
      <w:r>
        <w:rPr>
          <w:lang w:eastAsia="en-GB"/>
        </w:rPr>
        <w:t>Medium significance discharges are whe</w:t>
      </w:r>
      <w:r w:rsidR="0040149F">
        <w:rPr>
          <w:lang w:eastAsia="en-GB"/>
        </w:rPr>
        <w:t>re</w:t>
      </w:r>
      <w:r>
        <w:rPr>
          <w:lang w:eastAsia="en-GB"/>
        </w:rPr>
        <w:t>:</w:t>
      </w:r>
    </w:p>
    <w:p w14:paraId="4824BF48" w14:textId="77777777" w:rsidR="00E03EB5" w:rsidRPr="00BC63B9" w:rsidRDefault="00E03EB5" w:rsidP="00542F79">
      <w:pPr>
        <w:pStyle w:val="BodyText1"/>
        <w:numPr>
          <w:ilvl w:val="0"/>
          <w:numId w:val="27"/>
        </w:numPr>
        <w:rPr>
          <w:rFonts w:cs="Arial"/>
        </w:rPr>
      </w:pPr>
      <w:r w:rsidRPr="00BC63B9">
        <w:rPr>
          <w:rFonts w:cs="Arial"/>
        </w:rPr>
        <w:t>The dilution less than 8:1, and</w:t>
      </w:r>
    </w:p>
    <w:p w14:paraId="44CB1A37" w14:textId="77777777" w:rsidR="00E03EB5" w:rsidRPr="00526A67" w:rsidRDefault="00E03EB5" w:rsidP="00542F79">
      <w:pPr>
        <w:pStyle w:val="BodyText1"/>
        <w:numPr>
          <w:ilvl w:val="0"/>
          <w:numId w:val="27"/>
        </w:numPr>
        <w:rPr>
          <w:rFonts w:cs="Arial"/>
        </w:rPr>
      </w:pPr>
      <w:r w:rsidRPr="00526A67">
        <w:rPr>
          <w:rFonts w:cs="Arial"/>
        </w:rPr>
        <w:t>There is little or no interaction with other discharges, and</w:t>
      </w:r>
    </w:p>
    <w:p w14:paraId="6E33F71B" w14:textId="656383D9" w:rsidR="00E03EB5" w:rsidRPr="00AD6766" w:rsidRDefault="00E03EB5" w:rsidP="00542F79">
      <w:pPr>
        <w:pStyle w:val="BodyText1"/>
        <w:numPr>
          <w:ilvl w:val="0"/>
          <w:numId w:val="27"/>
        </w:numPr>
        <w:rPr>
          <w:rFonts w:cs="Arial"/>
        </w:rPr>
      </w:pPr>
      <w:r w:rsidRPr="00526A67">
        <w:rPr>
          <w:rFonts w:cs="Arial"/>
        </w:rPr>
        <w:t>The population equivalent is less than 10,000</w:t>
      </w:r>
      <w:r w:rsidR="00AD6766">
        <w:rPr>
          <w:rFonts w:cs="Arial"/>
        </w:rPr>
        <w:t>.</w:t>
      </w:r>
    </w:p>
    <w:p w14:paraId="23C74014" w14:textId="118F7160" w:rsidR="00E03EB5" w:rsidRPr="0005646B" w:rsidRDefault="00E03EB5" w:rsidP="007B7A6C">
      <w:pPr>
        <w:pStyle w:val="BodyText1"/>
      </w:pPr>
      <w:r w:rsidRPr="0005646B">
        <w:t xml:space="preserve">SEPA will accept schemes demonstrated in accordance with the relevant </w:t>
      </w:r>
      <w:r w:rsidR="006A1AB3" w:rsidRPr="006A1AB3">
        <w:t xml:space="preserve">99%ile </w:t>
      </w:r>
      <w:r w:rsidRPr="0005646B">
        <w:t>quality standards for the river</w:t>
      </w:r>
      <w:r w:rsidR="0040149F">
        <w:t>.</w:t>
      </w:r>
      <w:r w:rsidRPr="0005646B">
        <w:t xml:space="preserve"> Simple stochastic river impact modelling, applied in association with </w:t>
      </w:r>
      <w:r w:rsidRPr="0005646B">
        <w:lastRenderedPageBreak/>
        <w:t xml:space="preserve">sewer hydraulic models, is normally required. </w:t>
      </w:r>
      <w:r w:rsidR="00D706E5" w:rsidRPr="00526A67">
        <w:t xml:space="preserve">99%ile standards </w:t>
      </w:r>
      <w:r w:rsidR="00D706E5" w:rsidRPr="00DF25C1">
        <w:t>(</w:t>
      </w:r>
      <w:r w:rsidR="00D706E5" w:rsidRPr="007B7A6C">
        <w:rPr>
          <w:szCs w:val="28"/>
        </w:rPr>
        <w:t>for BOD, total ammonia and un-ionised ammonia)</w:t>
      </w:r>
      <w:r w:rsidR="00D706E5" w:rsidRPr="00DF25C1">
        <w:t xml:space="preserve"> are used when mass balance calculations</w:t>
      </w:r>
      <w:r w:rsidR="00D706E5" w:rsidRPr="00526A67">
        <w:t xml:space="preserve"> form the basis of the modelling. Repeated mass balance calculations are carried out to estimate a frequency distribution of the </w:t>
      </w:r>
      <w:proofErr w:type="spellStart"/>
      <w:r w:rsidR="00D706E5" w:rsidRPr="00526A67">
        <w:t>determinand</w:t>
      </w:r>
      <w:proofErr w:type="spellEnd"/>
      <w:r w:rsidR="00D706E5" w:rsidRPr="00526A67">
        <w:t xml:space="preserve"> for the river downstream of the CSO discharge. The 99%ile value from this distribution can then be checked against the standard. </w:t>
      </w:r>
    </w:p>
    <w:p w14:paraId="7936344E" w14:textId="672BF116" w:rsidR="00E03EB5" w:rsidRDefault="00E03EB5" w:rsidP="00EA09AF">
      <w:pPr>
        <w:pStyle w:val="BodyText1"/>
      </w:pPr>
      <w:r w:rsidRPr="0005646B">
        <w:t xml:space="preserve">In addition to assessing against 99%ile standards, </w:t>
      </w:r>
      <w:r w:rsidRPr="007B7A6C">
        <w:t xml:space="preserve">assessment </w:t>
      </w:r>
      <w:r w:rsidR="00C65EB8">
        <w:t>to show that</w:t>
      </w:r>
      <w:r w:rsidRPr="0005646B">
        <w:t xml:space="preserve"> </w:t>
      </w:r>
      <w:r w:rsidR="00883336">
        <w:t>Fundamental Intermittent Standards (</w:t>
      </w:r>
      <w:r w:rsidRPr="0005646B">
        <w:t>FIS</w:t>
      </w:r>
      <w:r w:rsidR="00883336">
        <w:t>)</w:t>
      </w:r>
      <w:r w:rsidRPr="0005646B">
        <w:t xml:space="preserve"> </w:t>
      </w:r>
      <w:r w:rsidR="00C65EB8">
        <w:t xml:space="preserve">can be met </w:t>
      </w:r>
      <w:r w:rsidRPr="0005646B">
        <w:t>may be required where the appropriate environmental data is available.  Where the relevant environmental data is unavailable, assessing against 99%ile standards is normally acceptable.</w:t>
      </w:r>
    </w:p>
    <w:p w14:paraId="7374CC46" w14:textId="2F939821" w:rsidR="00E03EB5" w:rsidRPr="007B7A6C" w:rsidRDefault="004D57DF" w:rsidP="009F34E1">
      <w:pPr>
        <w:pStyle w:val="Heading3"/>
      </w:pPr>
      <w:bookmarkStart w:id="13" w:name="_Toc178862616"/>
      <w:r>
        <w:t>4</w:t>
      </w:r>
      <w:r w:rsidR="00EA1BCC">
        <w:t>.1.3</w:t>
      </w:r>
      <w:r w:rsidR="00EA1BCC">
        <w:tab/>
      </w:r>
      <w:r w:rsidR="00E03EB5" w:rsidRPr="007B7A6C">
        <w:t>High significance discharges</w:t>
      </w:r>
      <w:bookmarkEnd w:id="13"/>
    </w:p>
    <w:p w14:paraId="62CD9CB4" w14:textId="77777777" w:rsidR="00E03EB5" w:rsidRDefault="00E03EB5" w:rsidP="007B7A6C">
      <w:pPr>
        <w:pStyle w:val="BodyText1"/>
        <w:rPr>
          <w:lang w:eastAsia="en-GB"/>
        </w:rPr>
      </w:pPr>
      <w:r>
        <w:rPr>
          <w:lang w:eastAsia="en-GB"/>
        </w:rPr>
        <w:t>High significance discharges are where:</w:t>
      </w:r>
    </w:p>
    <w:p w14:paraId="0501883A" w14:textId="77777777" w:rsidR="00E03EB5" w:rsidRPr="00526A67" w:rsidRDefault="00E03EB5" w:rsidP="00542F79">
      <w:pPr>
        <w:pStyle w:val="BodyText1"/>
        <w:numPr>
          <w:ilvl w:val="0"/>
          <w:numId w:val="28"/>
        </w:numPr>
        <w:rPr>
          <w:rFonts w:cs="Arial"/>
        </w:rPr>
      </w:pPr>
      <w:r>
        <w:rPr>
          <w:rFonts w:cs="Arial"/>
        </w:rPr>
        <w:t>The d</w:t>
      </w:r>
      <w:r w:rsidRPr="00526A67">
        <w:rPr>
          <w:rFonts w:cs="Arial"/>
        </w:rPr>
        <w:t>ilution is less than 2:1</w:t>
      </w:r>
      <w:r>
        <w:rPr>
          <w:rFonts w:cs="Arial"/>
        </w:rPr>
        <w:t>; or</w:t>
      </w:r>
    </w:p>
    <w:p w14:paraId="26D3BC97" w14:textId="77777777" w:rsidR="00E03EB5" w:rsidRPr="00526A67" w:rsidRDefault="00E03EB5" w:rsidP="00542F79">
      <w:pPr>
        <w:pStyle w:val="BodyText1"/>
        <w:numPr>
          <w:ilvl w:val="0"/>
          <w:numId w:val="28"/>
        </w:numPr>
        <w:rPr>
          <w:rFonts w:cs="Arial"/>
        </w:rPr>
      </w:pPr>
      <w:r>
        <w:rPr>
          <w:rFonts w:cs="Arial"/>
        </w:rPr>
        <w:t>There is i</w:t>
      </w:r>
      <w:r w:rsidRPr="00526A67">
        <w:rPr>
          <w:rFonts w:cs="Arial"/>
        </w:rPr>
        <w:t>nteraction with other discharges</w:t>
      </w:r>
      <w:r>
        <w:rPr>
          <w:rFonts w:cs="Arial"/>
        </w:rPr>
        <w:t>; or</w:t>
      </w:r>
    </w:p>
    <w:p w14:paraId="48016816" w14:textId="2E2BB1C6" w:rsidR="00E03EB5" w:rsidRDefault="00E03EB5" w:rsidP="00542F79">
      <w:pPr>
        <w:pStyle w:val="BodyText1"/>
        <w:numPr>
          <w:ilvl w:val="0"/>
          <w:numId w:val="28"/>
        </w:numPr>
        <w:rPr>
          <w:lang w:eastAsia="en-GB"/>
        </w:rPr>
      </w:pPr>
      <w:r>
        <w:rPr>
          <w:rFonts w:cs="Arial"/>
        </w:rPr>
        <w:t xml:space="preserve">The </w:t>
      </w:r>
      <w:r w:rsidRPr="00526A67">
        <w:rPr>
          <w:rFonts w:cs="Arial"/>
        </w:rPr>
        <w:t>population equivalent is greater than 10,000</w:t>
      </w:r>
      <w:r w:rsidR="00AD6766">
        <w:rPr>
          <w:rFonts w:cs="Arial"/>
        </w:rPr>
        <w:t>.</w:t>
      </w:r>
    </w:p>
    <w:p w14:paraId="377453FD" w14:textId="3D91BF31" w:rsidR="00D040B6" w:rsidRDefault="00E03EB5" w:rsidP="007B7A6C">
      <w:pPr>
        <w:pStyle w:val="BodyText1"/>
        <w:rPr>
          <w:rFonts w:cs="Arial"/>
        </w:rPr>
      </w:pPr>
      <w:r w:rsidRPr="00526A67">
        <w:rPr>
          <w:rFonts w:cs="Arial"/>
        </w:rPr>
        <w:t xml:space="preserve">FIS modelling should be undertaken. </w:t>
      </w:r>
      <w:r w:rsidR="009114B5" w:rsidRPr="007B7A6C">
        <w:rPr>
          <w:rFonts w:cs="Arial"/>
        </w:rPr>
        <w:t>FIS requires river water quality data.</w:t>
      </w:r>
    </w:p>
    <w:p w14:paraId="7E376F65" w14:textId="3B985C22" w:rsidR="00E03EB5" w:rsidRDefault="00D040B6" w:rsidP="00EA09AF">
      <w:pPr>
        <w:pStyle w:val="BodyText1"/>
        <w:rPr>
          <w:rFonts w:cs="Arial"/>
        </w:rPr>
      </w:pPr>
      <w:r w:rsidRPr="00526A67">
        <w:rPr>
          <w:rFonts w:cs="Arial"/>
        </w:rPr>
        <w:t xml:space="preserve">FIS have been developed for dissolved oxygen (DO) and un-ionised ammonia. These standards are expressed in terms of concentration/duration thresholds for a range of return periods. If a river meets these standards with the proposed intermittent </w:t>
      </w:r>
      <w:proofErr w:type="gramStart"/>
      <w:r w:rsidRPr="00526A67">
        <w:rPr>
          <w:rFonts w:cs="Arial"/>
        </w:rPr>
        <w:t>discharge</w:t>
      </w:r>
      <w:proofErr w:type="gramEnd"/>
      <w:r w:rsidRPr="00526A67">
        <w:rPr>
          <w:rFonts w:cs="Arial"/>
        </w:rPr>
        <w:t xml:space="preserve"> then the aquatic life in the river should have adequate protection against the effects of short term exposure to storm sewage discharges.</w:t>
      </w:r>
    </w:p>
    <w:p w14:paraId="7931A0D5" w14:textId="1C768A91" w:rsidR="00E03EB5" w:rsidRPr="00526A67" w:rsidRDefault="00E03EB5" w:rsidP="007B7A6C">
      <w:pPr>
        <w:pStyle w:val="BodyText1"/>
      </w:pPr>
      <w:r w:rsidRPr="00526A67">
        <w:t xml:space="preserve">For schemes that improve water quality and comply with FIS, it will be sufficient to demonstrate that the proposed scheme will achieve the relevant 90 (or 10) and 95 percentile WFD standards </w:t>
      </w:r>
      <w:r w:rsidRPr="007B7A6C">
        <w:t xml:space="preserve">and that the cost of meeting the </w:t>
      </w:r>
      <w:r w:rsidR="00EC6A4E" w:rsidRPr="00EC6A4E">
        <w:t xml:space="preserve">99%ile </w:t>
      </w:r>
      <w:r w:rsidRPr="007B7A6C">
        <w:t>standards is disproportionate to the benefit of meeting the</w:t>
      </w:r>
      <w:r w:rsidR="00EC6A4E">
        <w:t xml:space="preserve"> </w:t>
      </w:r>
      <w:r w:rsidR="00EC6A4E" w:rsidRPr="00EC6A4E">
        <w:t>99%ile</w:t>
      </w:r>
      <w:r w:rsidRPr="007B7A6C">
        <w:t>.</w:t>
      </w:r>
    </w:p>
    <w:p w14:paraId="4E145FFB" w14:textId="09E353D0" w:rsidR="00E03EB5" w:rsidRPr="00526A67" w:rsidRDefault="00E03EB5" w:rsidP="007B7A6C">
      <w:pPr>
        <w:pStyle w:val="BodyText1"/>
      </w:pPr>
      <w:r w:rsidRPr="00526A67">
        <w:lastRenderedPageBreak/>
        <w:t xml:space="preserve">Where there is a risk of deterioration in river quality (for example a growth project), FIS solutions will only be acceptable provided that Scottish Water can demonstrate that the proposed scheme allows the relevant </w:t>
      </w:r>
      <w:r w:rsidR="009721FE" w:rsidRPr="009721FE">
        <w:t>99%ile</w:t>
      </w:r>
      <w:r w:rsidRPr="00526A67">
        <w:t xml:space="preserve"> WFD standards to be met. </w:t>
      </w:r>
    </w:p>
    <w:p w14:paraId="07E9ECAC" w14:textId="23E1C7D3" w:rsidR="00E03EB5" w:rsidRDefault="00E03EB5" w:rsidP="007B7A6C">
      <w:pPr>
        <w:pStyle w:val="BodyText1"/>
      </w:pPr>
      <w:r w:rsidRPr="00526A67">
        <w:t>Where the appropriate environmental data is unavailable to enable FIS to be carried out, Scottish Water is required to demonstrate to the satisfaction of SEPA that the gathering of the data would be disproportionate. Where Scottish Water is unable to demonstrate this, FIS will be required.</w:t>
      </w:r>
    </w:p>
    <w:p w14:paraId="4D645252" w14:textId="4EF300B2" w:rsidR="00E03EB5" w:rsidRDefault="00E03EB5" w:rsidP="007B7A6C">
      <w:pPr>
        <w:pStyle w:val="BodyText1"/>
      </w:pPr>
      <w:r w:rsidRPr="007B7A6C">
        <w:t xml:space="preserve">Early consultation with </w:t>
      </w:r>
      <w:r w:rsidR="00DD7CED">
        <w:t>SEPA</w:t>
      </w:r>
      <w:r w:rsidRPr="007B7A6C">
        <w:t>, is advised since there are a wide range of river and sewer modelling techniques, with any combination of simple and complex models</w:t>
      </w:r>
      <w:r w:rsidRPr="009D74AD">
        <w:rPr>
          <w:strike/>
        </w:rPr>
        <w:t>.</w:t>
      </w:r>
    </w:p>
    <w:p w14:paraId="1CB6F220" w14:textId="3A10F5B3" w:rsidR="00E03EB5" w:rsidRPr="00526A67" w:rsidRDefault="00E03EB5" w:rsidP="007B7A6C">
      <w:pPr>
        <w:pStyle w:val="BodyText1"/>
      </w:pPr>
      <w:r w:rsidRPr="00526A67">
        <w:t xml:space="preserve">The 99%ile and FIS standards can be found in the </w:t>
      </w:r>
      <w:hyperlink r:id="rId20" w:history="1">
        <w:r w:rsidR="000C7008" w:rsidRPr="007B24AF">
          <w:rPr>
            <w:rStyle w:val="Hyperlink"/>
            <w:rFonts w:cs="Arial"/>
          </w:rPr>
          <w:t>standards directions</w:t>
        </w:r>
      </w:hyperlink>
      <w:r w:rsidRPr="00526A67">
        <w:t xml:space="preserve"> and are related to typology. </w:t>
      </w:r>
      <w:r w:rsidRPr="00EA09AF">
        <w:t xml:space="preserve">The typology for the receiving watercourse can be obtained from </w:t>
      </w:r>
      <w:r w:rsidR="00BA1190" w:rsidRPr="00EA09AF">
        <w:t>SEPA</w:t>
      </w:r>
      <w:r w:rsidRPr="00EA09AF">
        <w:t>.</w:t>
      </w:r>
    </w:p>
    <w:p w14:paraId="31738367" w14:textId="430ED24B" w:rsidR="00E03EB5" w:rsidRPr="00526A67" w:rsidRDefault="00E03EB5" w:rsidP="007B7A6C">
      <w:pPr>
        <w:pStyle w:val="BodyText1"/>
      </w:pPr>
      <w:r w:rsidRPr="007B7A6C">
        <w:t xml:space="preserve">SEPA modellers </w:t>
      </w:r>
      <w:r w:rsidR="0048598C" w:rsidRPr="007B7A6C">
        <w:t>will</w:t>
      </w:r>
      <w:r w:rsidRPr="007B7A6C">
        <w:t xml:space="preserve"> verify the output from models used by </w:t>
      </w:r>
      <w:r w:rsidR="0048598C" w:rsidRPr="007B7A6C">
        <w:t>Scottish Water</w:t>
      </w:r>
      <w:r w:rsidRPr="007B7A6C">
        <w:t>.</w:t>
      </w:r>
      <w:r w:rsidRPr="00526A67">
        <w:t xml:space="preserve"> Separate guidance on modelling is included in the following</w:t>
      </w:r>
    </w:p>
    <w:p w14:paraId="3784CEBA" w14:textId="3F94B49A" w:rsidR="00E03EB5" w:rsidRPr="00971B7B" w:rsidRDefault="00971B7B" w:rsidP="00542F79">
      <w:pPr>
        <w:pStyle w:val="ListBullet"/>
        <w:numPr>
          <w:ilvl w:val="0"/>
          <w:numId w:val="4"/>
        </w:numPr>
        <w:rPr>
          <w:rStyle w:val="Hyperlink"/>
          <w:rFonts w:cs="Arial"/>
        </w:rPr>
      </w:pPr>
      <w:r>
        <w:rPr>
          <w:rFonts w:eastAsiaTheme="majorEastAsia" w:cs="Arial"/>
        </w:rPr>
        <w:fldChar w:fldCharType="begin"/>
      </w:r>
      <w:r>
        <w:rPr>
          <w:rFonts w:eastAsiaTheme="majorEastAsia" w:cs="Arial"/>
        </w:rPr>
        <w:instrText>HYPERLINK "https://www.sepa.org.uk/regulations/water/pollution-control/pollution-control-guidance/"</w:instrText>
      </w:r>
      <w:r>
        <w:rPr>
          <w:rFonts w:eastAsiaTheme="majorEastAsia" w:cs="Arial"/>
        </w:rPr>
      </w:r>
      <w:r>
        <w:rPr>
          <w:rFonts w:eastAsiaTheme="majorEastAsia" w:cs="Arial"/>
        </w:rPr>
        <w:fldChar w:fldCharType="separate"/>
      </w:r>
      <w:r w:rsidR="00E03EB5" w:rsidRPr="00971B7B">
        <w:rPr>
          <w:rStyle w:val="Hyperlink"/>
          <w:rFonts w:eastAsiaTheme="majorEastAsia" w:cs="Arial"/>
        </w:rPr>
        <w:t>WAT-RM-28: Modelling for Water Use Activities</w:t>
      </w:r>
    </w:p>
    <w:p w14:paraId="7CFB73E8" w14:textId="0AFF7BFC" w:rsidR="00E03EB5" w:rsidRPr="00971B7B" w:rsidRDefault="00971B7B" w:rsidP="00542F79">
      <w:pPr>
        <w:pStyle w:val="ListBullet"/>
        <w:numPr>
          <w:ilvl w:val="0"/>
          <w:numId w:val="4"/>
        </w:numPr>
        <w:rPr>
          <w:rStyle w:val="Hyperlink"/>
          <w:rFonts w:cs="Arial"/>
        </w:rPr>
      </w:pPr>
      <w:r>
        <w:rPr>
          <w:rFonts w:eastAsiaTheme="majorEastAsia" w:cs="Arial"/>
        </w:rPr>
        <w:fldChar w:fldCharType="end"/>
      </w:r>
      <w:r>
        <w:rPr>
          <w:rFonts w:eastAsiaTheme="majorEastAsia" w:cs="Arial"/>
        </w:rPr>
        <w:fldChar w:fldCharType="begin"/>
      </w:r>
      <w:r>
        <w:rPr>
          <w:rFonts w:eastAsiaTheme="majorEastAsia" w:cs="Arial"/>
        </w:rPr>
        <w:instrText>HYPERLINK "https://www.sepa.org.uk/regulations/water/pollution-control/pollution-control-guidance/"</w:instrText>
      </w:r>
      <w:r>
        <w:rPr>
          <w:rFonts w:eastAsiaTheme="majorEastAsia" w:cs="Arial"/>
        </w:rPr>
      </w:r>
      <w:r>
        <w:rPr>
          <w:rFonts w:eastAsiaTheme="majorEastAsia" w:cs="Arial"/>
        </w:rPr>
        <w:fldChar w:fldCharType="separate"/>
      </w:r>
      <w:r w:rsidR="00E03EB5" w:rsidRPr="00971B7B">
        <w:rPr>
          <w:rStyle w:val="Hyperlink"/>
          <w:rFonts w:eastAsiaTheme="majorEastAsia" w:cs="Arial"/>
        </w:rPr>
        <w:t>WAT-SG-02: Modelling Continuous Discharges to Rivers</w:t>
      </w:r>
    </w:p>
    <w:p w14:paraId="559A9047" w14:textId="49E0D391" w:rsidR="00E03EB5" w:rsidRPr="00971B7B" w:rsidRDefault="00971B7B" w:rsidP="00542F79">
      <w:pPr>
        <w:pStyle w:val="ListBullet"/>
        <w:numPr>
          <w:ilvl w:val="0"/>
          <w:numId w:val="4"/>
        </w:numPr>
        <w:rPr>
          <w:rStyle w:val="Hyperlink"/>
          <w:rFonts w:cs="Arial"/>
        </w:rPr>
      </w:pPr>
      <w:r>
        <w:rPr>
          <w:rFonts w:eastAsiaTheme="majorEastAsia" w:cs="Arial"/>
        </w:rPr>
        <w:fldChar w:fldCharType="end"/>
      </w:r>
      <w:r>
        <w:rPr>
          <w:rFonts w:eastAsiaTheme="majorEastAsia" w:cs="Arial"/>
        </w:rPr>
        <w:fldChar w:fldCharType="begin"/>
      </w:r>
      <w:r>
        <w:rPr>
          <w:rFonts w:eastAsiaTheme="majorEastAsia" w:cs="Arial"/>
        </w:rPr>
        <w:instrText>HYPERLINK "https://www.sepa.org.uk/regulations/water/pollution-control/pollution-control-guidance/"</w:instrText>
      </w:r>
      <w:r>
        <w:rPr>
          <w:rFonts w:eastAsiaTheme="majorEastAsia" w:cs="Arial"/>
        </w:rPr>
      </w:r>
      <w:r>
        <w:rPr>
          <w:rFonts w:eastAsiaTheme="majorEastAsia" w:cs="Arial"/>
        </w:rPr>
        <w:fldChar w:fldCharType="separate"/>
      </w:r>
      <w:r w:rsidR="00E03EB5" w:rsidRPr="00971B7B">
        <w:rPr>
          <w:rStyle w:val="Hyperlink"/>
          <w:rFonts w:eastAsiaTheme="majorEastAsia" w:cs="Arial"/>
        </w:rPr>
        <w:t>WAT-RM-37: Regulation of Discharges to Freshwater Lochs</w:t>
      </w:r>
    </w:p>
    <w:p w14:paraId="259DDD85" w14:textId="7EEFC8E4" w:rsidR="00E03EB5" w:rsidRPr="00971B7B" w:rsidRDefault="00971B7B" w:rsidP="00542F79">
      <w:pPr>
        <w:pStyle w:val="ListBullet"/>
        <w:numPr>
          <w:ilvl w:val="0"/>
          <w:numId w:val="4"/>
        </w:numPr>
        <w:rPr>
          <w:rStyle w:val="Hyperlink"/>
          <w:rFonts w:cs="Arial"/>
        </w:rPr>
      </w:pPr>
      <w:r>
        <w:rPr>
          <w:rFonts w:eastAsiaTheme="majorEastAsia" w:cs="Arial"/>
        </w:rPr>
        <w:fldChar w:fldCharType="end"/>
      </w:r>
      <w:r>
        <w:rPr>
          <w:rFonts w:eastAsiaTheme="majorEastAsia" w:cs="Arial"/>
        </w:rPr>
        <w:fldChar w:fldCharType="begin"/>
      </w:r>
      <w:r>
        <w:rPr>
          <w:rFonts w:eastAsiaTheme="majorEastAsia" w:cs="Arial"/>
        </w:rPr>
        <w:instrText>HYPERLINK "https://www.sepa.org.uk/regulations/water/pollution-control/pollution-control-guidance/"</w:instrText>
      </w:r>
      <w:r>
        <w:rPr>
          <w:rFonts w:eastAsiaTheme="majorEastAsia" w:cs="Arial"/>
        </w:rPr>
      </w:r>
      <w:r>
        <w:rPr>
          <w:rFonts w:eastAsiaTheme="majorEastAsia" w:cs="Arial"/>
        </w:rPr>
        <w:fldChar w:fldCharType="separate"/>
      </w:r>
      <w:r w:rsidR="00E03EB5" w:rsidRPr="00971B7B">
        <w:rPr>
          <w:rStyle w:val="Hyperlink"/>
          <w:rFonts w:eastAsiaTheme="majorEastAsia" w:cs="Arial"/>
        </w:rPr>
        <w:t>WAT-SG-11: Modelling Coastal and Transitional Discharges</w:t>
      </w:r>
    </w:p>
    <w:p w14:paraId="3447F61B" w14:textId="2ADD70F8" w:rsidR="00E03EB5" w:rsidRPr="00526A67" w:rsidRDefault="00971B7B" w:rsidP="00E03EB5">
      <w:pPr>
        <w:pStyle w:val="ListBullet"/>
        <w:numPr>
          <w:ilvl w:val="0"/>
          <w:numId w:val="0"/>
        </w:numPr>
        <w:ind w:left="900"/>
        <w:rPr>
          <w:rFonts w:cs="Arial"/>
        </w:rPr>
      </w:pPr>
      <w:r>
        <w:rPr>
          <w:rFonts w:eastAsiaTheme="majorEastAsia" w:cs="Arial"/>
        </w:rPr>
        <w:fldChar w:fldCharType="end"/>
      </w:r>
    </w:p>
    <w:p w14:paraId="47B94BE4" w14:textId="796EC7B0" w:rsidR="00E03EB5" w:rsidRPr="00526A67" w:rsidRDefault="009C7736" w:rsidP="00E03EB5">
      <w:pPr>
        <w:pStyle w:val="BodyText"/>
        <w:spacing w:before="0" w:after="0" w:line="360" w:lineRule="auto"/>
        <w:ind w:left="0"/>
        <w:rPr>
          <w:rFonts w:cs="Arial"/>
        </w:rPr>
      </w:pPr>
      <w:r>
        <w:rPr>
          <w:rFonts w:cs="Arial"/>
        </w:rPr>
        <w:t xml:space="preserve">Any modelling should consider the impact on </w:t>
      </w:r>
      <w:r w:rsidR="004D0CD6">
        <w:rPr>
          <w:rFonts w:cs="Arial"/>
        </w:rPr>
        <w:t xml:space="preserve">inland bathing water and any drinking water sources. The </w:t>
      </w:r>
      <w:r w:rsidR="00E03EB5" w:rsidRPr="00526A67">
        <w:rPr>
          <w:rFonts w:cs="Arial"/>
        </w:rPr>
        <w:t xml:space="preserve">Microbiological standards </w:t>
      </w:r>
      <w:r w:rsidR="00E836FE">
        <w:rPr>
          <w:rFonts w:cs="Arial"/>
        </w:rPr>
        <w:t xml:space="preserve">for bathing waters </w:t>
      </w:r>
      <w:r w:rsidR="00E03EB5" w:rsidRPr="00526A67">
        <w:rPr>
          <w:rFonts w:cs="Arial"/>
        </w:rPr>
        <w:t xml:space="preserve">are </w:t>
      </w:r>
      <w:r w:rsidR="00E836FE">
        <w:rPr>
          <w:rFonts w:cs="Arial"/>
        </w:rPr>
        <w:t xml:space="preserve">set out in </w:t>
      </w:r>
      <w:hyperlink r:id="rId21" w:history="1">
        <w:r w:rsidR="000E1967" w:rsidRPr="00971B7B">
          <w:rPr>
            <w:rStyle w:val="Hyperlink"/>
            <w:rFonts w:cs="Arial"/>
          </w:rPr>
          <w:t>WAT-</w:t>
        </w:r>
        <w:r w:rsidR="00E836FE" w:rsidRPr="00971B7B">
          <w:rPr>
            <w:rStyle w:val="Hyperlink"/>
            <w:rFonts w:cs="Arial"/>
          </w:rPr>
          <w:t>RM</w:t>
        </w:r>
        <w:r w:rsidR="000E1967" w:rsidRPr="007B7A6C">
          <w:rPr>
            <w:rStyle w:val="Hyperlink"/>
          </w:rPr>
          <w:t>-</w:t>
        </w:r>
        <w:r w:rsidR="00E836FE" w:rsidRPr="00971B7B">
          <w:rPr>
            <w:rStyle w:val="Hyperlink"/>
            <w:rFonts w:cs="Arial"/>
          </w:rPr>
          <w:t>13</w:t>
        </w:r>
        <w:r w:rsidR="000E1967" w:rsidRPr="007B7A6C">
          <w:rPr>
            <w:rStyle w:val="Hyperlink"/>
          </w:rPr>
          <w:t xml:space="preserve"> Microbiological Discharges</w:t>
        </w:r>
        <w:r w:rsidR="00E836FE" w:rsidRPr="00971B7B">
          <w:rPr>
            <w:rStyle w:val="Hyperlink"/>
            <w:rFonts w:cs="Arial"/>
          </w:rPr>
          <w:t>.</w:t>
        </w:r>
      </w:hyperlink>
      <w:r w:rsidR="00E836FE" w:rsidRPr="007656FD">
        <w:rPr>
          <w:rFonts w:cs="Arial"/>
        </w:rPr>
        <w:t xml:space="preserve"> </w:t>
      </w:r>
    </w:p>
    <w:p w14:paraId="694B38E8" w14:textId="77777777" w:rsidR="00E03EB5" w:rsidRDefault="00E03EB5" w:rsidP="003B0C26"/>
    <w:p w14:paraId="671CC828" w14:textId="28B43606" w:rsidR="00E03EB5" w:rsidRDefault="004D57DF" w:rsidP="007B7A6C">
      <w:pPr>
        <w:pStyle w:val="Heading2"/>
      </w:pPr>
      <w:bookmarkStart w:id="14" w:name="_Toc178862617"/>
      <w:r>
        <w:t>4</w:t>
      </w:r>
      <w:r w:rsidR="00E03EB5">
        <w:t>.</w:t>
      </w:r>
      <w:r w:rsidR="00EA1BCC">
        <w:t>2</w:t>
      </w:r>
      <w:r w:rsidR="00E03EB5">
        <w:tab/>
        <w:t>CSO discharges to coastal and transitional waters</w:t>
      </w:r>
      <w:bookmarkEnd w:id="14"/>
    </w:p>
    <w:p w14:paraId="5FF628EA" w14:textId="56276A7F" w:rsidR="00214510" w:rsidRPr="00971B7B" w:rsidRDefault="003E19A7" w:rsidP="007B7A6C">
      <w:pPr>
        <w:pStyle w:val="BodyText1"/>
      </w:pPr>
      <w:r w:rsidRPr="00971B7B">
        <w:t>As with discharges to inland waters</w:t>
      </w:r>
      <w:r w:rsidR="008E700B" w:rsidRPr="00971B7B">
        <w:t>,</w:t>
      </w:r>
      <w:r w:rsidRPr="00971B7B">
        <w:t xml:space="preserve"> the degree of assessment should be proportionate to the risk or </w:t>
      </w:r>
      <w:r w:rsidR="00907198" w:rsidRPr="00971B7B">
        <w:t>“significance”</w:t>
      </w:r>
      <w:r w:rsidRPr="00971B7B">
        <w:t xml:space="preserve"> of the discharge.</w:t>
      </w:r>
    </w:p>
    <w:p w14:paraId="03CADA4E" w14:textId="214F3D4C" w:rsidR="003F104C" w:rsidRPr="00971B7B" w:rsidRDefault="00214510" w:rsidP="007B7A6C">
      <w:pPr>
        <w:pStyle w:val="BodyText1"/>
      </w:pPr>
      <w:r w:rsidRPr="00971B7B">
        <w:t xml:space="preserve">The criteria for determining modelling requirements for CSOs discharging to coastal and transitional waters is provided in </w:t>
      </w:r>
      <w:r w:rsidRPr="007B7A6C">
        <w:t xml:space="preserve">below, reproduced from Annex H of the </w:t>
      </w:r>
      <w:r w:rsidR="00A733FB" w:rsidRPr="007B7A6C">
        <w:t>UWWTR Guidance Note</w:t>
      </w:r>
      <w:r w:rsidRPr="007B7A6C">
        <w:t>.</w:t>
      </w:r>
    </w:p>
    <w:p w14:paraId="644C292F" w14:textId="14F41F66" w:rsidR="00214510" w:rsidRPr="00C47A0B" w:rsidRDefault="003F104C" w:rsidP="00C47A0B">
      <w:pPr>
        <w:pStyle w:val="BodyText1"/>
      </w:pPr>
      <w:r w:rsidRPr="007B7A6C">
        <w:lastRenderedPageBreak/>
        <w:t xml:space="preserve">The water quality standards that must be met by intermittent discharges to coastal and transitional waters are detailed in </w:t>
      </w:r>
      <w:hyperlink r:id="rId22" w:history="1">
        <w:r w:rsidR="00971B7B" w:rsidRPr="007B7A6C">
          <w:rPr>
            <w:rStyle w:val="Hyperlink"/>
          </w:rPr>
          <w:t>WAT-RM-13: Regulation of Microbiological Discharges</w:t>
        </w:r>
      </w:hyperlink>
      <w:r w:rsidR="00971B7B" w:rsidRPr="007B7A6C">
        <w:t>.</w:t>
      </w:r>
    </w:p>
    <w:p w14:paraId="58D4CB09" w14:textId="7429C7C1" w:rsidR="00214510" w:rsidRPr="00526A67" w:rsidRDefault="004D57DF" w:rsidP="007B7A6C">
      <w:pPr>
        <w:pStyle w:val="Heading3"/>
      </w:pPr>
      <w:bookmarkStart w:id="15" w:name="_Toc178862618"/>
      <w:r>
        <w:t>4</w:t>
      </w:r>
      <w:r w:rsidR="00EA1BCC">
        <w:t>.2.1</w:t>
      </w:r>
      <w:r w:rsidR="00EA1BCC">
        <w:tab/>
      </w:r>
      <w:r w:rsidR="00214510">
        <w:t>Low significance discharges</w:t>
      </w:r>
      <w:bookmarkEnd w:id="15"/>
      <w:r w:rsidR="00214510">
        <w:t xml:space="preserve"> </w:t>
      </w:r>
    </w:p>
    <w:p w14:paraId="767E05BD" w14:textId="31B0CFB3" w:rsidR="00214510" w:rsidRDefault="00214510" w:rsidP="007B7A6C">
      <w:pPr>
        <w:pStyle w:val="BodyText1"/>
      </w:pPr>
      <w:r>
        <w:t xml:space="preserve">Low significance discharges are where: </w:t>
      </w:r>
    </w:p>
    <w:p w14:paraId="5BAF0BF5" w14:textId="6A3E4551" w:rsidR="00214510" w:rsidRPr="00C63021" w:rsidRDefault="00214510" w:rsidP="00542F79">
      <w:pPr>
        <w:pStyle w:val="BodyText1"/>
        <w:numPr>
          <w:ilvl w:val="0"/>
          <w:numId w:val="6"/>
        </w:numPr>
      </w:pPr>
      <w:r w:rsidRPr="00C63021">
        <w:t>There are no Bathing or Shellfish Waters</w:t>
      </w:r>
      <w:r w:rsidR="00F8435D">
        <w:t>.</w:t>
      </w:r>
      <w:r w:rsidRPr="00C63021">
        <w:t xml:space="preserve"> </w:t>
      </w:r>
    </w:p>
    <w:p w14:paraId="656AB036" w14:textId="77777777" w:rsidR="00214510" w:rsidRPr="00C63021" w:rsidRDefault="00214510" w:rsidP="00542F79">
      <w:pPr>
        <w:pStyle w:val="BodyText1"/>
        <w:numPr>
          <w:ilvl w:val="0"/>
          <w:numId w:val="6"/>
        </w:numPr>
      </w:pPr>
      <w:r w:rsidRPr="00C63021">
        <w:t>There is no interaction with other discharges.</w:t>
      </w:r>
    </w:p>
    <w:p w14:paraId="43ACA63C" w14:textId="72D77CA8" w:rsidR="00214510" w:rsidRDefault="00214510" w:rsidP="00C47A0B">
      <w:pPr>
        <w:pStyle w:val="BodyText1"/>
      </w:pPr>
      <w:r>
        <w:t xml:space="preserve">In these </w:t>
      </w:r>
      <w:proofErr w:type="gramStart"/>
      <w:r>
        <w:t>cases</w:t>
      </w:r>
      <w:proofErr w:type="gramEnd"/>
      <w:r w:rsidR="00DA3587">
        <w:t xml:space="preserve"> </w:t>
      </w:r>
      <w:r w:rsidRPr="00526A67">
        <w:t>Formula A</w:t>
      </w:r>
      <w:r w:rsidR="00DA3587">
        <w:t xml:space="preserve"> should be </w:t>
      </w:r>
      <w:r>
        <w:t>used</w:t>
      </w:r>
      <w:r w:rsidR="0086498F">
        <w:t xml:space="preserve"> unless there are special reasons for departing from t</w:t>
      </w:r>
      <w:r w:rsidR="00C47A0B">
        <w:t>h</w:t>
      </w:r>
      <w:r w:rsidR="0086498F">
        <w:t>is approach</w:t>
      </w:r>
      <w:r>
        <w:t>.</w:t>
      </w:r>
      <w:r w:rsidRPr="00CE7220">
        <w:rPr>
          <w:color w:val="FF0000"/>
        </w:rPr>
        <w:t xml:space="preserve"> </w:t>
      </w:r>
    </w:p>
    <w:p w14:paraId="5172226A" w14:textId="24396504" w:rsidR="00214510" w:rsidRPr="00526A67" w:rsidRDefault="004D57DF" w:rsidP="007B7A6C">
      <w:pPr>
        <w:pStyle w:val="Heading3"/>
      </w:pPr>
      <w:bookmarkStart w:id="16" w:name="_Toc178862619"/>
      <w:r>
        <w:t>4</w:t>
      </w:r>
      <w:r w:rsidR="00EA1BCC">
        <w:t>.2.3</w:t>
      </w:r>
      <w:r w:rsidR="00EA1BCC">
        <w:tab/>
      </w:r>
      <w:r w:rsidR="00214510">
        <w:t>Medium significance discharges</w:t>
      </w:r>
      <w:bookmarkEnd w:id="16"/>
      <w:r w:rsidR="00214510">
        <w:t xml:space="preserve"> </w:t>
      </w:r>
    </w:p>
    <w:p w14:paraId="229F1573" w14:textId="77777777" w:rsidR="00214510" w:rsidRDefault="00214510" w:rsidP="007B7A6C">
      <w:pPr>
        <w:pStyle w:val="BodyText1"/>
      </w:pPr>
      <w:r>
        <w:t>Medium significance discharges are where:</w:t>
      </w:r>
    </w:p>
    <w:p w14:paraId="4C06A78E" w14:textId="77777777" w:rsidR="00214510" w:rsidRPr="00526A67" w:rsidRDefault="00214510" w:rsidP="00542F79">
      <w:pPr>
        <w:pStyle w:val="BodyText1"/>
        <w:numPr>
          <w:ilvl w:val="0"/>
          <w:numId w:val="7"/>
        </w:numPr>
        <w:rPr>
          <w:rFonts w:cs="Arial"/>
          <w:szCs w:val="32"/>
        </w:rPr>
      </w:pPr>
      <w:r>
        <w:rPr>
          <w:rFonts w:cs="Arial"/>
          <w:szCs w:val="32"/>
        </w:rPr>
        <w:t>The p</w:t>
      </w:r>
      <w:r w:rsidRPr="00526A67">
        <w:rPr>
          <w:rFonts w:cs="Arial"/>
          <w:szCs w:val="32"/>
        </w:rPr>
        <w:t xml:space="preserve">opulation </w:t>
      </w:r>
      <w:r>
        <w:rPr>
          <w:rFonts w:cs="Arial"/>
          <w:szCs w:val="32"/>
        </w:rPr>
        <w:t>e</w:t>
      </w:r>
      <w:r w:rsidRPr="00526A67">
        <w:rPr>
          <w:rFonts w:cs="Arial"/>
          <w:szCs w:val="32"/>
        </w:rPr>
        <w:t>quivalent</w:t>
      </w:r>
      <w:r>
        <w:rPr>
          <w:rFonts w:cs="Arial"/>
          <w:szCs w:val="32"/>
        </w:rPr>
        <w:t xml:space="preserve"> is between </w:t>
      </w:r>
      <w:r w:rsidRPr="00526A67">
        <w:rPr>
          <w:rFonts w:cs="Arial"/>
          <w:szCs w:val="32"/>
        </w:rPr>
        <w:t>2,000 - 10,000</w:t>
      </w:r>
      <w:r>
        <w:rPr>
          <w:rFonts w:cs="Arial"/>
          <w:szCs w:val="32"/>
        </w:rPr>
        <w:t xml:space="preserve"> and</w:t>
      </w:r>
    </w:p>
    <w:p w14:paraId="3C8570E8" w14:textId="2468EE5D" w:rsidR="00214510" w:rsidRPr="00347610" w:rsidRDefault="00214510" w:rsidP="00542F79">
      <w:pPr>
        <w:pStyle w:val="BodyText1"/>
        <w:numPr>
          <w:ilvl w:val="0"/>
          <w:numId w:val="7"/>
        </w:numPr>
      </w:pPr>
      <w:r>
        <w:rPr>
          <w:rFonts w:cs="Arial"/>
          <w:szCs w:val="32"/>
        </w:rPr>
        <w:t>The discharge a</w:t>
      </w:r>
      <w:r w:rsidRPr="00526A67">
        <w:rPr>
          <w:rFonts w:cs="Arial"/>
          <w:szCs w:val="32"/>
        </w:rPr>
        <w:t>ffects Bathing or Shellfish Waters</w:t>
      </w:r>
      <w:r>
        <w:rPr>
          <w:rFonts w:cs="Arial"/>
          <w:szCs w:val="32"/>
        </w:rPr>
        <w:t>.</w:t>
      </w:r>
    </w:p>
    <w:p w14:paraId="23BFDE86" w14:textId="15852BBE" w:rsidR="00214510" w:rsidRPr="00C47A0B" w:rsidRDefault="00214510" w:rsidP="00C47A0B">
      <w:pPr>
        <w:pStyle w:val="BodyText1"/>
        <w:rPr>
          <w:rFonts w:cs="Arial"/>
        </w:rPr>
      </w:pPr>
      <w:r w:rsidRPr="00347610">
        <w:t>In these cases</w:t>
      </w:r>
      <w:r>
        <w:t>,</w:t>
      </w:r>
      <w:r w:rsidRPr="00347610">
        <w:t xml:space="preserve"> a </w:t>
      </w:r>
      <w:r w:rsidRPr="00347610">
        <w:rPr>
          <w:rFonts w:cs="Arial"/>
        </w:rPr>
        <w:t>Simple Model (sewer hydraulic model with frequency assessment of overflow spill) is required</w:t>
      </w:r>
      <w:r w:rsidR="0061100C">
        <w:rPr>
          <w:rFonts w:cs="Arial"/>
        </w:rPr>
        <w:t xml:space="preserve"> </w:t>
      </w:r>
      <w:r w:rsidR="0061100C" w:rsidRPr="007B7A6C">
        <w:rPr>
          <w:rFonts w:cs="Arial"/>
          <w:color w:val="3C4741" w:themeColor="text1"/>
        </w:rPr>
        <w:t>to determine if the spill frequency is acceptable</w:t>
      </w:r>
      <w:r w:rsidRPr="007B7A6C">
        <w:rPr>
          <w:rFonts w:cs="Arial"/>
          <w:color w:val="3C4741" w:themeColor="text1"/>
        </w:rPr>
        <w:t xml:space="preserve">. </w:t>
      </w:r>
    </w:p>
    <w:p w14:paraId="12C88516" w14:textId="6C39BB63" w:rsidR="00214510" w:rsidRPr="00526A67" w:rsidRDefault="004D57DF" w:rsidP="007B7A6C">
      <w:pPr>
        <w:pStyle w:val="Heading3"/>
      </w:pPr>
      <w:bookmarkStart w:id="17" w:name="_Toc178862620"/>
      <w:r>
        <w:t>4</w:t>
      </w:r>
      <w:r w:rsidR="00EE48F9">
        <w:t>.2.3</w:t>
      </w:r>
      <w:r w:rsidR="00EE48F9">
        <w:tab/>
      </w:r>
      <w:r w:rsidR="00214510">
        <w:t>High significance discharges</w:t>
      </w:r>
      <w:bookmarkEnd w:id="17"/>
      <w:r w:rsidR="00214510">
        <w:t xml:space="preserve"> </w:t>
      </w:r>
    </w:p>
    <w:p w14:paraId="31A65EA1" w14:textId="77777777" w:rsidR="00214510" w:rsidRDefault="00214510" w:rsidP="007B7A6C">
      <w:pPr>
        <w:pStyle w:val="BodyText1"/>
      </w:pPr>
      <w:r>
        <w:t>High significance discharges are where:</w:t>
      </w:r>
    </w:p>
    <w:p w14:paraId="568924D2" w14:textId="688D258C" w:rsidR="00214510" w:rsidRPr="00526A67" w:rsidRDefault="00214510" w:rsidP="00542F79">
      <w:pPr>
        <w:pStyle w:val="BodyText1"/>
        <w:numPr>
          <w:ilvl w:val="0"/>
          <w:numId w:val="8"/>
        </w:numPr>
        <w:rPr>
          <w:rFonts w:cs="Arial"/>
          <w:szCs w:val="32"/>
        </w:rPr>
      </w:pPr>
      <w:r>
        <w:rPr>
          <w:rFonts w:cs="Arial"/>
          <w:szCs w:val="32"/>
        </w:rPr>
        <w:t>The p</w:t>
      </w:r>
      <w:r w:rsidRPr="00526A67">
        <w:rPr>
          <w:rFonts w:cs="Arial"/>
          <w:szCs w:val="32"/>
        </w:rPr>
        <w:t xml:space="preserve">opulation </w:t>
      </w:r>
      <w:r w:rsidR="00A1662A">
        <w:rPr>
          <w:rFonts w:cs="Arial"/>
          <w:szCs w:val="32"/>
        </w:rPr>
        <w:t>e</w:t>
      </w:r>
      <w:r w:rsidRPr="00526A67">
        <w:rPr>
          <w:rFonts w:cs="Arial"/>
          <w:szCs w:val="32"/>
        </w:rPr>
        <w:t>quivalent &gt;10,000</w:t>
      </w:r>
      <w:r>
        <w:rPr>
          <w:rFonts w:cs="Arial"/>
          <w:szCs w:val="32"/>
        </w:rPr>
        <w:t xml:space="preserve"> and</w:t>
      </w:r>
    </w:p>
    <w:p w14:paraId="1F89C445" w14:textId="1199DBEA" w:rsidR="00214510" w:rsidRPr="00563EF2" w:rsidRDefault="00214510" w:rsidP="00542F79">
      <w:pPr>
        <w:pStyle w:val="BodyText1"/>
        <w:numPr>
          <w:ilvl w:val="0"/>
          <w:numId w:val="8"/>
        </w:numPr>
      </w:pPr>
      <w:r>
        <w:rPr>
          <w:rFonts w:cs="Arial"/>
          <w:szCs w:val="32"/>
        </w:rPr>
        <w:t>The discharge a</w:t>
      </w:r>
      <w:r w:rsidRPr="00526A67">
        <w:rPr>
          <w:rFonts w:cs="Arial"/>
          <w:szCs w:val="32"/>
        </w:rPr>
        <w:t>ffects Bathing or Shellfish Waters</w:t>
      </w:r>
      <w:r>
        <w:rPr>
          <w:rFonts w:cs="Arial"/>
          <w:szCs w:val="32"/>
        </w:rPr>
        <w:t>.</w:t>
      </w:r>
    </w:p>
    <w:p w14:paraId="0A57A69A" w14:textId="6706B3B3" w:rsidR="00214510" w:rsidRDefault="00214510" w:rsidP="00C47A0B">
      <w:pPr>
        <w:pStyle w:val="BodyText1"/>
      </w:pPr>
      <w:r w:rsidRPr="00923B75">
        <w:t>In these cases, complex models will be required (sewer hydraulic model with frequency assessment of overflow spill and an option for coastal dispersion model and impact assessment).</w:t>
      </w:r>
    </w:p>
    <w:p w14:paraId="713A85BA" w14:textId="7DD7E4E3" w:rsidR="00A17FEF" w:rsidRDefault="004D57DF" w:rsidP="00A17FEF">
      <w:pPr>
        <w:pStyle w:val="Heading3"/>
      </w:pPr>
      <w:bookmarkStart w:id="18" w:name="_Toc178862621"/>
      <w:r>
        <w:lastRenderedPageBreak/>
        <w:t>4</w:t>
      </w:r>
      <w:r w:rsidR="00A17FEF">
        <w:t>.2.4</w:t>
      </w:r>
      <w:r w:rsidR="00A17FEF">
        <w:tab/>
      </w:r>
      <w:r w:rsidR="00A17FEF" w:rsidRPr="00DF03A7">
        <w:t xml:space="preserve">Acceptable spill </w:t>
      </w:r>
      <w:r w:rsidR="00A17FEF">
        <w:t>frequency</w:t>
      </w:r>
      <w:bookmarkEnd w:id="18"/>
      <w:r w:rsidR="00A17FEF">
        <w:t xml:space="preserve"> </w:t>
      </w:r>
    </w:p>
    <w:p w14:paraId="6D29350B" w14:textId="77777777" w:rsidR="00A17FEF" w:rsidRDefault="00A17FEF" w:rsidP="007B7A6C">
      <w:pPr>
        <w:pStyle w:val="BodyText1"/>
      </w:pPr>
      <w:r w:rsidRPr="00526A67">
        <w:t xml:space="preserve">New intermittent sewage discharges </w:t>
      </w:r>
      <w:r w:rsidRPr="007B7A6C">
        <w:t>to</w:t>
      </w:r>
      <w:r w:rsidRPr="00526A67">
        <w:t xml:space="preserve"> sites designated as Bathing Waters or classified as Shellfish Waters should be avoided where possible. However, where unavoidable and justification is agreed with the applicant, the minimum design criteria should be such that spills do not exceed</w:t>
      </w:r>
      <w:r>
        <w:t>:</w:t>
      </w:r>
    </w:p>
    <w:p w14:paraId="60E4C63A" w14:textId="77777777" w:rsidR="00A17FEF" w:rsidRDefault="00A17FEF" w:rsidP="00542F79">
      <w:pPr>
        <w:pStyle w:val="BodyText1"/>
        <w:numPr>
          <w:ilvl w:val="0"/>
          <w:numId w:val="9"/>
        </w:numPr>
      </w:pPr>
      <w:r>
        <w:t xml:space="preserve">3 </w:t>
      </w:r>
      <w:r w:rsidRPr="00526A67">
        <w:t xml:space="preserve">significant spill events on average per bathing season into bathing waters or </w:t>
      </w:r>
    </w:p>
    <w:p w14:paraId="43959A2D" w14:textId="77777777" w:rsidR="00A17FEF" w:rsidRPr="00003E29" w:rsidRDefault="00A17FEF" w:rsidP="00542F79">
      <w:pPr>
        <w:pStyle w:val="BodyText1"/>
        <w:numPr>
          <w:ilvl w:val="0"/>
          <w:numId w:val="9"/>
        </w:numPr>
      </w:pPr>
      <w:r w:rsidRPr="00526A67">
        <w:t>10 significant spill events on average per annum into shellfish waters</w:t>
      </w:r>
      <w:r>
        <w:t>.</w:t>
      </w:r>
    </w:p>
    <w:p w14:paraId="456B2845" w14:textId="65A0C3A4" w:rsidR="00A17FEF" w:rsidRDefault="00A17FEF" w:rsidP="007B7A6C">
      <w:pPr>
        <w:pStyle w:val="BodyText1"/>
        <w:rPr>
          <w:rFonts w:cs="Arial"/>
        </w:rPr>
      </w:pPr>
      <w:r>
        <w:t xml:space="preserve">If the </w:t>
      </w:r>
      <w:r w:rsidRPr="00526A67">
        <w:t xml:space="preserve">outfall soffit </w:t>
      </w:r>
      <w:r w:rsidR="00454B66">
        <w:t xml:space="preserve">(top of the outfall pipe) </w:t>
      </w:r>
      <w:r w:rsidRPr="00526A67">
        <w:t>is above mean low water springs, it normally must not spill more frequently than 1 in 5 years</w:t>
      </w:r>
      <w:r>
        <w:t>.</w:t>
      </w:r>
      <w:r w:rsidRPr="00526A67">
        <w:t xml:space="preserve">  </w:t>
      </w:r>
      <w:r w:rsidRPr="004E6815">
        <w:t xml:space="preserve"> </w:t>
      </w:r>
      <w:r w:rsidRPr="00526A67">
        <w:t>For design purposes, a spill of &gt;50m</w:t>
      </w:r>
      <w:r w:rsidRPr="00526A67">
        <w:rPr>
          <w:vertAlign w:val="superscript"/>
        </w:rPr>
        <w:t>3</w:t>
      </w:r>
      <w:r w:rsidRPr="00526A67">
        <w:t xml:space="preserve"> will be deemed significan</w:t>
      </w:r>
      <w:r w:rsidR="00F8435D">
        <w:t>t</w:t>
      </w:r>
      <w:r w:rsidRPr="00526A67">
        <w:t xml:space="preserve">. </w:t>
      </w:r>
    </w:p>
    <w:p w14:paraId="59974BC1" w14:textId="2FC9FCE7" w:rsidR="00A17FEF" w:rsidRDefault="00A17FEF" w:rsidP="007B7A6C">
      <w:pPr>
        <w:pStyle w:val="BodyText1"/>
        <w:rPr>
          <w:rFonts w:cs="Arial"/>
        </w:rPr>
      </w:pPr>
      <w:r>
        <w:rPr>
          <w:rFonts w:cs="Arial"/>
        </w:rPr>
        <w:t>If this spill frequency is exceeded</w:t>
      </w:r>
      <w:r w:rsidR="00354532">
        <w:rPr>
          <w:rFonts w:cs="Arial"/>
        </w:rPr>
        <w:t>,</w:t>
      </w:r>
      <w:r>
        <w:rPr>
          <w:rFonts w:cs="Arial"/>
        </w:rPr>
        <w:t xml:space="preserve"> </w:t>
      </w:r>
      <w:r w:rsidRPr="00526A67">
        <w:rPr>
          <w:rFonts w:cs="Arial"/>
        </w:rPr>
        <w:t xml:space="preserve">the applicant </w:t>
      </w:r>
      <w:r>
        <w:rPr>
          <w:rFonts w:cs="Arial"/>
        </w:rPr>
        <w:t xml:space="preserve">will need to </w:t>
      </w:r>
      <w:r w:rsidRPr="00526A67">
        <w:rPr>
          <w:rFonts w:cs="Arial"/>
        </w:rPr>
        <w:t xml:space="preserve">demonstrate compliance with water quality standards through modelling. </w:t>
      </w:r>
    </w:p>
    <w:p w14:paraId="0E2FF533" w14:textId="35AE70E8" w:rsidR="00A17FEF" w:rsidRDefault="00A17FEF" w:rsidP="007B7A6C">
      <w:pPr>
        <w:pStyle w:val="BodyText1"/>
      </w:pPr>
      <w:r w:rsidRPr="007B7A6C">
        <w:rPr>
          <w:rFonts w:cs="Arial"/>
        </w:rPr>
        <w:t xml:space="preserve">In certain situations, depending on location, sewer modelling showing ≤3 significant spills per season or ≤10 spills p.a. may not always be protective of the bathing water or shellfish water.  </w:t>
      </w:r>
      <w:proofErr w:type="spellStart"/>
      <w:r w:rsidRPr="007B7A6C">
        <w:rPr>
          <w:rFonts w:cs="Arial"/>
        </w:rPr>
        <w:t>Eg</w:t>
      </w:r>
      <w:proofErr w:type="spellEnd"/>
      <w:r w:rsidRPr="007B7A6C">
        <w:rPr>
          <w:rFonts w:cs="Arial"/>
        </w:rPr>
        <w:t xml:space="preserve"> A shallow enclosed bay and/or a high </w:t>
      </w:r>
      <w:proofErr w:type="spellStart"/>
      <w:r w:rsidR="00697438" w:rsidRPr="007B7A6C">
        <w:rPr>
          <w:rFonts w:cs="Arial"/>
        </w:rPr>
        <w:t>p.e</w:t>
      </w:r>
      <w:proofErr w:type="spellEnd"/>
      <w:r w:rsidRPr="007B7A6C">
        <w:rPr>
          <w:rFonts w:cs="Arial"/>
        </w:rPr>
        <w:t xml:space="preserve"> may require marine modelling</w:t>
      </w:r>
      <w:r w:rsidRPr="00382145">
        <w:rPr>
          <w:rFonts w:cs="Arial"/>
        </w:rPr>
        <w:t xml:space="preserve">. </w:t>
      </w:r>
      <w:r w:rsidRPr="007B7A6C">
        <w:rPr>
          <w:rFonts w:cs="Arial"/>
        </w:rPr>
        <w:t xml:space="preserve">This may be particularly the case for existing CSOs discharging into a failing bathing or shellfish water, where the contribution from other sources such as sewage or farm runoff may result in the 3 or 10 spill </w:t>
      </w:r>
      <w:proofErr w:type="gramStart"/>
      <w:r w:rsidRPr="007B7A6C">
        <w:rPr>
          <w:rFonts w:cs="Arial"/>
        </w:rPr>
        <w:t>threshold</w:t>
      </w:r>
      <w:proofErr w:type="gramEnd"/>
      <w:r w:rsidRPr="007B7A6C">
        <w:rPr>
          <w:rFonts w:cs="Arial"/>
        </w:rPr>
        <w:t xml:space="preserve"> not being protective</w:t>
      </w:r>
      <w:r w:rsidR="006228FC" w:rsidRPr="00382145">
        <w:rPr>
          <w:rFonts w:cs="Arial"/>
        </w:rPr>
        <w:t>.</w:t>
      </w:r>
    </w:p>
    <w:p w14:paraId="4D204C00" w14:textId="56B293B3" w:rsidR="00A17FEF" w:rsidRDefault="00A17FEF" w:rsidP="00C47A0B">
      <w:pPr>
        <w:pStyle w:val="BodyText1"/>
      </w:pPr>
      <w:r w:rsidRPr="007B7A6C">
        <w:t>For existing CSOs if the discharge is satisfactory in relation to the UWWTD 6 criteria SEPA will licence the status quo. If the discharge is unsatisfactory in relation to the UWWTD 6 criteria SEPA will only require the significant spill criteria to apply if there is a non-compliance of a bathing water or a shellfish water. If the bathing or shellfish water is compli</w:t>
      </w:r>
      <w:r w:rsidR="007D4907" w:rsidRPr="007B7A6C">
        <w:t>a</w:t>
      </w:r>
      <w:r w:rsidRPr="007B7A6C">
        <w:t xml:space="preserve">nt then SEPA will </w:t>
      </w:r>
      <w:r w:rsidR="00C9231C" w:rsidRPr="007B7A6C">
        <w:t>licence</w:t>
      </w:r>
      <w:r w:rsidRPr="007B7A6C">
        <w:t xml:space="preserve"> the existing P</w:t>
      </w:r>
      <w:r w:rsidR="007D4907" w:rsidRPr="007B7A6C">
        <w:t>F</w:t>
      </w:r>
      <w:r w:rsidRPr="007B7A6C">
        <w:t>F and will require that the UWWTD non-compliance is addressed.</w:t>
      </w:r>
      <w:r w:rsidRPr="00382145">
        <w:t xml:space="preserve"> </w:t>
      </w:r>
    </w:p>
    <w:p w14:paraId="6B107AC8" w14:textId="77777777" w:rsidR="00A17FEF" w:rsidRPr="00C12C09" w:rsidRDefault="00A17FEF" w:rsidP="00C12C09">
      <w:pPr>
        <w:pStyle w:val="Heading4"/>
      </w:pPr>
      <w:r w:rsidRPr="00C12C09">
        <w:t>Counting Spills for use during design of a new or modified overflow</w:t>
      </w:r>
    </w:p>
    <w:p w14:paraId="7243423D" w14:textId="77777777" w:rsidR="00A17FEF" w:rsidRPr="00D851E5" w:rsidRDefault="00A17FEF" w:rsidP="007B7A6C">
      <w:pPr>
        <w:pStyle w:val="BodyText1"/>
      </w:pPr>
      <w:r w:rsidRPr="00D851E5">
        <w:t xml:space="preserve">You </w:t>
      </w:r>
      <w:r>
        <w:t>must</w:t>
      </w:r>
      <w:r w:rsidRPr="00D851E5">
        <w:t xml:space="preserve"> count spills using the 12/24 counting method:</w:t>
      </w:r>
    </w:p>
    <w:p w14:paraId="19511A78" w14:textId="77777777" w:rsidR="00A17FEF" w:rsidRPr="00D851E5" w:rsidRDefault="00A17FEF" w:rsidP="00542F79">
      <w:pPr>
        <w:pStyle w:val="BodyText1"/>
        <w:numPr>
          <w:ilvl w:val="0"/>
          <w:numId w:val="5"/>
        </w:numPr>
      </w:pPr>
      <w:r w:rsidRPr="00D851E5">
        <w:t>Start counting when the first discharge occurs.</w:t>
      </w:r>
    </w:p>
    <w:p w14:paraId="57712E41" w14:textId="77777777" w:rsidR="00A17FEF" w:rsidRPr="00D851E5" w:rsidRDefault="00A17FEF" w:rsidP="00542F79">
      <w:pPr>
        <w:pStyle w:val="BodyText1"/>
        <w:numPr>
          <w:ilvl w:val="0"/>
          <w:numId w:val="5"/>
        </w:numPr>
      </w:pPr>
      <w:r w:rsidRPr="00D851E5">
        <w:lastRenderedPageBreak/>
        <w:t>Any discharge (or discharges) in the first 12-hour block is counted as one spill.</w:t>
      </w:r>
    </w:p>
    <w:p w14:paraId="2C086A73" w14:textId="77777777" w:rsidR="00A17FEF" w:rsidRPr="00D851E5" w:rsidRDefault="00A17FEF" w:rsidP="00542F79">
      <w:pPr>
        <w:pStyle w:val="BodyText1"/>
        <w:numPr>
          <w:ilvl w:val="0"/>
          <w:numId w:val="5"/>
        </w:numPr>
      </w:pPr>
      <w:r w:rsidRPr="00D851E5">
        <w:t>Any discharge (or discharges) in the next, and subsequent 24-hour blocks, are each counted as one additional spill per block.</w:t>
      </w:r>
    </w:p>
    <w:p w14:paraId="59E89AC3" w14:textId="77777777" w:rsidR="00A17FEF" w:rsidRPr="00D851E5" w:rsidRDefault="00A17FEF" w:rsidP="00542F79">
      <w:pPr>
        <w:pStyle w:val="BodyText1"/>
        <w:numPr>
          <w:ilvl w:val="0"/>
          <w:numId w:val="5"/>
        </w:numPr>
      </w:pPr>
      <w:r w:rsidRPr="00D851E5">
        <w:t>Continue counting until there’s a 24-hour block with no discharge.</w:t>
      </w:r>
    </w:p>
    <w:p w14:paraId="4B8614A3" w14:textId="77777777" w:rsidR="00A17FEF" w:rsidRPr="00D851E5" w:rsidRDefault="00A17FEF" w:rsidP="007B7A6C">
      <w:pPr>
        <w:pStyle w:val="BodyText1"/>
      </w:pPr>
      <w:r w:rsidRPr="00D851E5">
        <w:t>For the next discharge after the 24-hour block with no discharge, you begin again with the 12-hour and 24-hour block spill counting sequence.</w:t>
      </w:r>
    </w:p>
    <w:p w14:paraId="71D29D55" w14:textId="77777777" w:rsidR="00A17FEF" w:rsidRDefault="00A17FEF" w:rsidP="00A17FEF"/>
    <w:p w14:paraId="37EACA34" w14:textId="77777777" w:rsidR="00A17FEF" w:rsidRPr="00663D57" w:rsidRDefault="00A17FEF" w:rsidP="00A17FEF">
      <w:pPr>
        <w:pStyle w:val="Heading4"/>
      </w:pPr>
      <w:r w:rsidRPr="00663D57">
        <w:t>Aggregate Spills</w:t>
      </w:r>
    </w:p>
    <w:p w14:paraId="455BFE56" w14:textId="77777777" w:rsidR="00A17FEF" w:rsidRPr="008B546C" w:rsidRDefault="00A17FEF" w:rsidP="007B7A6C">
      <w:pPr>
        <w:pStyle w:val="BodyText1"/>
      </w:pPr>
      <w:r w:rsidRPr="008B546C">
        <w:t xml:space="preserve">Where there are multiple, intermittent discharges that affect the same Bathing or Shellfish Water then these will be assessed on aggregate. </w:t>
      </w:r>
    </w:p>
    <w:p w14:paraId="70D59FE0" w14:textId="4C87ACB7" w:rsidR="00A17FEF" w:rsidRPr="00C47A0B" w:rsidRDefault="00A17FEF" w:rsidP="00C47A0B">
      <w:pPr>
        <w:pStyle w:val="BodyText1"/>
      </w:pPr>
      <w:r w:rsidRPr="008B546C">
        <w:t>Spills over the whole catchment should be considered and those which do not have an impact can be discounted, if justified.</w:t>
      </w:r>
    </w:p>
    <w:p w14:paraId="4E634152" w14:textId="1B3144BE" w:rsidR="00A17FEF" w:rsidRDefault="004D57DF" w:rsidP="00A17FEF">
      <w:pPr>
        <w:pStyle w:val="Heading3"/>
      </w:pPr>
      <w:bookmarkStart w:id="19" w:name="_Toc178862622"/>
      <w:r>
        <w:t>4</w:t>
      </w:r>
      <w:r w:rsidR="002050ED">
        <w:t>.2.5</w:t>
      </w:r>
      <w:r w:rsidR="00A17FEF">
        <w:tab/>
        <w:t>Outfall location</w:t>
      </w:r>
      <w:bookmarkEnd w:id="19"/>
      <w:r w:rsidR="00A17FEF">
        <w:t xml:space="preserve">  </w:t>
      </w:r>
    </w:p>
    <w:p w14:paraId="3214521A" w14:textId="342F50C4" w:rsidR="00A17FEF" w:rsidRPr="00C47A0B" w:rsidRDefault="00A17FEF" w:rsidP="00C47A0B">
      <w:pPr>
        <w:pStyle w:val="BodyText1"/>
      </w:pPr>
      <w:r w:rsidRPr="00526A67">
        <w:t>All new CSO outfalls discharging to coastal and transitional waters should have the top of the pipe (soffit)</w:t>
      </w:r>
      <w:r w:rsidR="00EB6B8A">
        <w:t xml:space="preserve"> submerged when the </w:t>
      </w:r>
      <w:r w:rsidR="002250B1">
        <w:t xml:space="preserve">tide is at </w:t>
      </w:r>
      <w:r w:rsidRPr="00526A67">
        <w:t>Mean Low Water Spring</w:t>
      </w:r>
      <w:r w:rsidR="00866653">
        <w:t>s</w:t>
      </w:r>
      <w:r w:rsidR="00025B01">
        <w:t xml:space="preserve"> (MLWS)</w:t>
      </w:r>
      <w:r w:rsidR="00866653">
        <w:t xml:space="preserve">. </w:t>
      </w:r>
      <w:r w:rsidR="00025B01">
        <w:t>To do this t</w:t>
      </w:r>
      <w:r w:rsidR="00866653">
        <w:t>he pipe will have to extend beyond the MLWS mark</w:t>
      </w:r>
      <w:r w:rsidR="00F8435D">
        <w:t>.</w:t>
      </w:r>
      <w:r w:rsidRPr="00526A67">
        <w:t xml:space="preserve"> </w:t>
      </w:r>
      <w:r w:rsidR="00025B01">
        <w:t xml:space="preserve">This is </w:t>
      </w:r>
      <w:r w:rsidRPr="00526A67">
        <w:t xml:space="preserve">unless exceptional circumstances apply, </w:t>
      </w:r>
      <w:r w:rsidRPr="007B7A6C">
        <w:t xml:space="preserve">as described in </w:t>
      </w:r>
      <w:hyperlink r:id="rId23" w:history="1">
        <w:r w:rsidRPr="007B7A6C">
          <w:rPr>
            <w:rStyle w:val="Hyperlink"/>
          </w:rPr>
          <w:t>WAT-SG-28 Good Practice Guide – Intakes and Outfalls.</w:t>
        </w:r>
      </w:hyperlink>
      <w:r w:rsidRPr="00526A67">
        <w:t xml:space="preserve"> Further guidance on exceptional circumstances is provided in the </w:t>
      </w:r>
      <w:r w:rsidR="00A33770" w:rsidRPr="007B7A6C">
        <w:t>UWWTR Guidance Note</w:t>
      </w:r>
      <w:r w:rsidRPr="007B7A6C">
        <w:t>.</w:t>
      </w:r>
    </w:p>
    <w:p w14:paraId="34238907" w14:textId="66740EB2" w:rsidR="00C91775" w:rsidRDefault="004D57DF" w:rsidP="007B7A6C">
      <w:pPr>
        <w:pStyle w:val="Heading2"/>
      </w:pPr>
      <w:bookmarkStart w:id="20" w:name="_Toc178862623"/>
      <w:r>
        <w:t>4</w:t>
      </w:r>
      <w:r w:rsidR="00C91775">
        <w:t>.3</w:t>
      </w:r>
      <w:r w:rsidR="00C91775">
        <w:tab/>
        <w:t>Minimum screening requirements for CSOs</w:t>
      </w:r>
      <w:bookmarkEnd w:id="20"/>
    </w:p>
    <w:p w14:paraId="4793E3E6" w14:textId="0DD81CAA" w:rsidR="00B576D4" w:rsidRDefault="00B576D4" w:rsidP="00C91775">
      <w:pPr>
        <w:pStyle w:val="BodyText"/>
        <w:spacing w:before="0" w:after="0" w:line="360" w:lineRule="auto"/>
        <w:ind w:left="0"/>
        <w:rPr>
          <w:rFonts w:cs="Arial"/>
        </w:rPr>
      </w:pPr>
      <w:r w:rsidRPr="00526A67">
        <w:rPr>
          <w:rFonts w:cs="Arial"/>
        </w:rPr>
        <w:t>Treatment requirements for CSOs will almost exclusively relate to the level of screening required to control aesthetic impacts arising from the discharge of solid materials</w:t>
      </w:r>
      <w:r w:rsidRPr="00EB1688">
        <w:rPr>
          <w:rFonts w:cs="Arial"/>
        </w:rPr>
        <w:t xml:space="preserve">. </w:t>
      </w:r>
      <w:r w:rsidRPr="007B7A6C">
        <w:rPr>
          <w:rFonts w:cs="Arial"/>
        </w:rPr>
        <w:t>In very specific cases, treatment may extend to settlement facilities (e.g. storm tanks).</w:t>
      </w:r>
      <w:r w:rsidRPr="00526A67">
        <w:rPr>
          <w:rFonts w:cs="Arial"/>
        </w:rPr>
        <w:t xml:space="preserve"> The level of screening required is determined on the basis of the receiving water amenity use</w:t>
      </w:r>
      <w:r w:rsidR="00211CB1">
        <w:rPr>
          <w:rFonts w:cs="Arial"/>
        </w:rPr>
        <w:t>.</w:t>
      </w:r>
    </w:p>
    <w:p w14:paraId="51CDA802" w14:textId="77777777" w:rsidR="00B576D4" w:rsidRDefault="00B576D4" w:rsidP="00C91775">
      <w:pPr>
        <w:pStyle w:val="BodyText"/>
        <w:spacing w:before="0" w:after="0" w:line="360" w:lineRule="auto"/>
        <w:ind w:left="0"/>
        <w:rPr>
          <w:rFonts w:cs="Arial"/>
        </w:rPr>
      </w:pPr>
    </w:p>
    <w:p w14:paraId="524CA83C" w14:textId="0D64A86C" w:rsidR="00C91775" w:rsidRPr="00526A67" w:rsidRDefault="00AD3663" w:rsidP="00C91775">
      <w:pPr>
        <w:pStyle w:val="BodyText"/>
        <w:spacing w:before="0" w:after="0" w:line="360" w:lineRule="auto"/>
        <w:ind w:left="0"/>
        <w:rPr>
          <w:rFonts w:cs="Arial"/>
        </w:rPr>
      </w:pPr>
      <w:r w:rsidRPr="007B7A6C">
        <w:rPr>
          <w:rFonts w:cs="Arial"/>
        </w:rPr>
        <w:t>This section sets out</w:t>
      </w:r>
      <w:r w:rsidR="00C91775" w:rsidRPr="007B7A6C">
        <w:rPr>
          <w:rFonts w:cs="Arial"/>
        </w:rPr>
        <w:t xml:space="preserve"> SEPA’s minimum requirements for screening.</w:t>
      </w:r>
      <w:r w:rsidR="00C91775" w:rsidRPr="00526A67">
        <w:rPr>
          <w:rFonts w:cs="Arial"/>
        </w:rPr>
        <w:t xml:space="preserve"> However, Scottish Water may choose to put in two dimensional 6mm screens at CSOs predicted to overflow more </w:t>
      </w:r>
      <w:r w:rsidR="00C91775" w:rsidRPr="00526A67">
        <w:rPr>
          <w:rFonts w:cs="Arial"/>
        </w:rPr>
        <w:lastRenderedPageBreak/>
        <w:t>frequently than 1 in 5 years. For those predicted to discharge less frequently than 1 in 5 years, no screening is required unless there is a particular environmental need.</w:t>
      </w:r>
    </w:p>
    <w:p w14:paraId="61DEE5B4" w14:textId="77777777" w:rsidR="00C91775" w:rsidRDefault="00C91775" w:rsidP="00C91775">
      <w:pPr>
        <w:rPr>
          <w:rFonts w:cs="Arial"/>
        </w:rPr>
      </w:pPr>
    </w:p>
    <w:p w14:paraId="3F1F1769" w14:textId="77777777" w:rsidR="00C91775" w:rsidRPr="00526A67" w:rsidRDefault="00C91775" w:rsidP="00C91775">
      <w:pPr>
        <w:pStyle w:val="BodyText"/>
        <w:spacing w:before="0" w:after="0" w:line="360" w:lineRule="auto"/>
        <w:ind w:left="0"/>
        <w:rPr>
          <w:rFonts w:cs="Arial"/>
        </w:rPr>
      </w:pPr>
      <w:r w:rsidRPr="00526A67">
        <w:rPr>
          <w:rFonts w:cs="Arial"/>
        </w:rPr>
        <w:t>Screens normally have a bypass to prevent flooding if the screen becomes blinded.  The screen should be designed so that it has sufficient hydraulic capacity to cope with events up to and including the 1 in 5 year event without becoming blinded and bypassed.</w:t>
      </w:r>
    </w:p>
    <w:p w14:paraId="26D1FC00" w14:textId="77777777" w:rsidR="00C91775" w:rsidRPr="00526A67" w:rsidRDefault="00C91775" w:rsidP="00C91775">
      <w:pPr>
        <w:pStyle w:val="BodyText"/>
        <w:spacing w:before="0" w:after="0" w:line="360" w:lineRule="auto"/>
        <w:ind w:left="0"/>
        <w:rPr>
          <w:rFonts w:cs="Arial"/>
        </w:rPr>
      </w:pPr>
    </w:p>
    <w:p w14:paraId="60BD5235" w14:textId="77777777" w:rsidR="00C91775" w:rsidRPr="00526A67" w:rsidRDefault="00C91775" w:rsidP="00C91775">
      <w:pPr>
        <w:pStyle w:val="BodyText"/>
        <w:spacing w:before="0" w:after="0" w:line="360" w:lineRule="auto"/>
        <w:ind w:left="0"/>
        <w:rPr>
          <w:rFonts w:cs="Arial"/>
        </w:rPr>
      </w:pPr>
      <w:r w:rsidRPr="00526A67">
        <w:rPr>
          <w:rFonts w:cs="Arial"/>
        </w:rPr>
        <w:t xml:space="preserve">Screens can either be static or mechanically raked. Scottish Water will determine whether </w:t>
      </w:r>
      <w:r>
        <w:rPr>
          <w:rFonts w:cs="Arial"/>
        </w:rPr>
        <w:t xml:space="preserve">to </w:t>
      </w:r>
      <w:r w:rsidRPr="00526A67">
        <w:rPr>
          <w:rFonts w:cs="Arial"/>
        </w:rPr>
        <w:t>put in a static or manual screen. Static screens will begin to blind when the overflow operates, therefore this will need to be taken into consideration when designing new or replacement screens and additional screen area should be considered to account for this.</w:t>
      </w:r>
    </w:p>
    <w:p w14:paraId="5A079CA9" w14:textId="77777777" w:rsidR="00C91775" w:rsidRPr="00526A67" w:rsidRDefault="00C91775" w:rsidP="00C91775">
      <w:pPr>
        <w:pStyle w:val="BodyText"/>
        <w:spacing w:before="0" w:after="0" w:line="360" w:lineRule="auto"/>
        <w:ind w:left="0"/>
        <w:rPr>
          <w:rFonts w:cs="Arial"/>
        </w:rPr>
      </w:pPr>
    </w:p>
    <w:p w14:paraId="7111DE53" w14:textId="77777777" w:rsidR="00C91775" w:rsidRPr="00526A67" w:rsidRDefault="00C91775" w:rsidP="00C91775">
      <w:pPr>
        <w:pStyle w:val="BodyText"/>
        <w:spacing w:before="0" w:after="0" w:line="360" w:lineRule="auto"/>
        <w:ind w:left="0"/>
        <w:rPr>
          <w:rFonts w:cs="Arial"/>
        </w:rPr>
      </w:pPr>
      <w:r w:rsidRPr="00526A67">
        <w:rPr>
          <w:rFonts w:cs="Arial"/>
        </w:rPr>
        <w:t>The screen must be designed to cope with the frequency and duration of spills predicted from the time series analysis.</w:t>
      </w:r>
    </w:p>
    <w:p w14:paraId="558B1BAC" w14:textId="77777777" w:rsidR="00C91775" w:rsidRPr="00526A67" w:rsidRDefault="00C91775" w:rsidP="00C91775">
      <w:pPr>
        <w:pStyle w:val="BodyText"/>
        <w:spacing w:before="0" w:after="0" w:line="360" w:lineRule="auto"/>
        <w:ind w:left="0"/>
        <w:rPr>
          <w:rFonts w:cs="Arial"/>
        </w:rPr>
      </w:pPr>
    </w:p>
    <w:p w14:paraId="54B189B2" w14:textId="77777777" w:rsidR="00C91775" w:rsidRPr="00526A67" w:rsidRDefault="00C91775" w:rsidP="00C91775">
      <w:pPr>
        <w:pStyle w:val="BodyText"/>
        <w:spacing w:before="0" w:after="0" w:line="360" w:lineRule="auto"/>
        <w:ind w:left="0"/>
        <w:rPr>
          <w:rFonts w:cs="Arial"/>
        </w:rPr>
      </w:pPr>
      <w:r w:rsidRPr="00526A67">
        <w:rPr>
          <w:rFonts w:cs="Arial"/>
        </w:rPr>
        <w:t>Account should be taken of the planned screen cleaning regime.  In addition, screens should be oversized to cope with situations where the influent to the overflow is likely to be highly loaded with debris.  An example of where this is relevant is where the sewered catchment has only partly combined drainage. Another example is where upstream sewers are laid at slack gradients.  This can lead to solids settling out in dry weather and being flushed to the screens during storm.</w:t>
      </w:r>
    </w:p>
    <w:p w14:paraId="39FC674D" w14:textId="77777777" w:rsidR="00C91775" w:rsidRPr="00526A67" w:rsidRDefault="00C91775" w:rsidP="00C91775">
      <w:pPr>
        <w:pStyle w:val="BodyText"/>
        <w:spacing w:before="0" w:after="0" w:line="360" w:lineRule="auto"/>
        <w:ind w:left="0"/>
        <w:rPr>
          <w:rFonts w:cs="Arial"/>
        </w:rPr>
      </w:pPr>
    </w:p>
    <w:p w14:paraId="2313D58F" w14:textId="77777777" w:rsidR="00C91775" w:rsidRPr="00526A67" w:rsidRDefault="00C91775" w:rsidP="00C91775">
      <w:pPr>
        <w:pStyle w:val="BodyText"/>
        <w:spacing w:before="0" w:after="0" w:line="360" w:lineRule="auto"/>
        <w:ind w:left="0"/>
        <w:rPr>
          <w:rFonts w:cs="Arial"/>
        </w:rPr>
      </w:pPr>
      <w:r w:rsidRPr="00526A67">
        <w:rPr>
          <w:rFonts w:cs="Arial"/>
        </w:rPr>
        <w:t>For a given flow rate, mechanical or auto-cleaning screens are generally smaller in area than a static screen of equivalent capacity.  Therefore, if the raking mechanism fails the screen will blind more quickly and bypass more readily.  Where mechanically raked screens are installed, telemetry is required to notify the operator in the event of screen failure.</w:t>
      </w:r>
    </w:p>
    <w:p w14:paraId="4AF48798" w14:textId="77777777" w:rsidR="00C91775" w:rsidRPr="00526A67" w:rsidRDefault="00C91775" w:rsidP="00C91775">
      <w:pPr>
        <w:pStyle w:val="BodyText"/>
        <w:spacing w:before="0" w:after="0" w:line="360" w:lineRule="auto"/>
        <w:ind w:left="0"/>
        <w:rPr>
          <w:rFonts w:cs="Arial"/>
        </w:rPr>
      </w:pPr>
    </w:p>
    <w:p w14:paraId="2202B859" w14:textId="77777777" w:rsidR="00C91775" w:rsidRPr="00526A67" w:rsidRDefault="00C91775" w:rsidP="00C91775">
      <w:pPr>
        <w:pStyle w:val="BodyText"/>
        <w:spacing w:before="0" w:after="0" w:line="360" w:lineRule="auto"/>
        <w:ind w:left="0"/>
        <w:rPr>
          <w:rFonts w:cs="Arial"/>
        </w:rPr>
      </w:pPr>
      <w:r w:rsidRPr="00526A67">
        <w:rPr>
          <w:rFonts w:cs="Arial"/>
        </w:rPr>
        <w:t>Retrofitting screens to an existing chamber should only be undertaken where the engineer is confident the installed screen and chamber achieve the objectives for screening performance and are not bypassed.  Evidence to support the design should be provided with licence applications.  Post scheme appraisal monitoring may be required to confirm retrofitted screens are not bypassed more often than once in 5 years on average.</w:t>
      </w:r>
    </w:p>
    <w:p w14:paraId="5D66F7E9" w14:textId="77777777" w:rsidR="00C91775" w:rsidRPr="00526A67" w:rsidRDefault="00C91775" w:rsidP="00C91775">
      <w:pPr>
        <w:pStyle w:val="BodyText"/>
        <w:spacing w:before="0" w:after="0" w:line="360" w:lineRule="auto"/>
        <w:ind w:left="0"/>
        <w:rPr>
          <w:rFonts w:cs="Arial"/>
        </w:rPr>
      </w:pPr>
    </w:p>
    <w:p w14:paraId="52418DB8" w14:textId="77777777" w:rsidR="00C91775" w:rsidRPr="00526A67" w:rsidRDefault="00C91775" w:rsidP="00C91775">
      <w:pPr>
        <w:pStyle w:val="BodyText"/>
        <w:spacing w:before="0" w:after="0" w:line="360" w:lineRule="auto"/>
        <w:ind w:left="0"/>
        <w:rPr>
          <w:rFonts w:cs="Arial"/>
        </w:rPr>
      </w:pPr>
      <w:r w:rsidRPr="00526A67">
        <w:rPr>
          <w:rFonts w:cs="Arial"/>
        </w:rPr>
        <w:t>Screens and chambers must be designed not to increase flood risk. This is particularly important when retrofitting screens to existing chambers.</w:t>
      </w:r>
    </w:p>
    <w:p w14:paraId="37E6B126" w14:textId="77777777" w:rsidR="00C91775" w:rsidRPr="00526A67" w:rsidRDefault="00C91775" w:rsidP="00C91775"/>
    <w:p w14:paraId="2826C876" w14:textId="68596FC6" w:rsidR="00C91775" w:rsidRDefault="00C91775" w:rsidP="00C91775">
      <w:r w:rsidRPr="00526A67">
        <w:t xml:space="preserve">Screening requirements should be discussed with </w:t>
      </w:r>
      <w:r w:rsidRPr="007B7A6C">
        <w:t>SEPA</w:t>
      </w:r>
      <w:r>
        <w:t xml:space="preserve"> </w:t>
      </w:r>
      <w:r w:rsidRPr="00526A67">
        <w:t>at an early stage</w:t>
      </w:r>
      <w:r w:rsidR="009F360C">
        <w:t>.</w:t>
      </w:r>
      <w:r>
        <w:t xml:space="preserve">  </w:t>
      </w:r>
    </w:p>
    <w:p w14:paraId="7D19A63D" w14:textId="77777777" w:rsidR="00BA4EB5" w:rsidRDefault="00BA4EB5" w:rsidP="00C91775"/>
    <w:p w14:paraId="72E51F8B" w14:textId="4D7EE665" w:rsidR="00C91775" w:rsidRPr="009F360C" w:rsidRDefault="00793ECC" w:rsidP="007B7A6C">
      <w:pPr>
        <w:pStyle w:val="Heading3"/>
      </w:pPr>
      <w:bookmarkStart w:id="21" w:name="_Toc178862624"/>
      <w:r w:rsidRPr="009F360C">
        <w:t>4.3.1</w:t>
      </w:r>
      <w:r w:rsidRPr="009F360C">
        <w:tab/>
      </w:r>
      <w:r w:rsidR="00C91775" w:rsidRPr="009F360C">
        <w:t>Screens required for high amenity locations</w:t>
      </w:r>
      <w:bookmarkEnd w:id="21"/>
    </w:p>
    <w:p w14:paraId="5AF81F0A" w14:textId="3EA1228E" w:rsidR="00C91775" w:rsidRDefault="00C91775" w:rsidP="007B7A6C">
      <w:pPr>
        <w:pStyle w:val="BodyText1"/>
      </w:pPr>
      <w:r>
        <w:t xml:space="preserve">A high amenity location </w:t>
      </w:r>
      <w:r w:rsidR="00983231">
        <w:t>influences:</w:t>
      </w:r>
    </w:p>
    <w:p w14:paraId="7BCBB319" w14:textId="46B77967" w:rsidR="00C91775" w:rsidRPr="00DB684E" w:rsidRDefault="00F62AEF" w:rsidP="00542F79">
      <w:pPr>
        <w:pStyle w:val="BodyText1"/>
        <w:numPr>
          <w:ilvl w:val="0"/>
          <w:numId w:val="11"/>
        </w:numPr>
      </w:pPr>
      <w:r>
        <w:t>A d</w:t>
      </w:r>
      <w:r w:rsidR="00C91775" w:rsidRPr="00DB684E">
        <w:t>esignated Bathing water</w:t>
      </w:r>
    </w:p>
    <w:p w14:paraId="50A2B892" w14:textId="07B939C4" w:rsidR="00C91775" w:rsidRPr="00DB684E" w:rsidRDefault="00961EB9" w:rsidP="00542F79">
      <w:pPr>
        <w:pStyle w:val="BodyText1"/>
        <w:numPr>
          <w:ilvl w:val="0"/>
          <w:numId w:val="11"/>
        </w:numPr>
      </w:pPr>
      <w:r>
        <w:t>An area w</w:t>
      </w:r>
      <w:r w:rsidR="00C91775" w:rsidRPr="00DB684E">
        <w:t xml:space="preserve">here bathing and water contact sport (immersion) is regularly practised (e.g. </w:t>
      </w:r>
      <w:proofErr w:type="gramStart"/>
      <w:r w:rsidR="00C91775" w:rsidRPr="00DB684E">
        <w:t>wind-surfing</w:t>
      </w:r>
      <w:proofErr w:type="gramEnd"/>
      <w:r w:rsidR="00C91775" w:rsidRPr="00DB684E">
        <w:t>, sports canoeing);</w:t>
      </w:r>
    </w:p>
    <w:p w14:paraId="0D8FA7DD" w14:textId="67E9C368" w:rsidR="00C91775" w:rsidRPr="00DB684E" w:rsidRDefault="000D02AF" w:rsidP="00542F79">
      <w:pPr>
        <w:pStyle w:val="BodyText1"/>
        <w:numPr>
          <w:ilvl w:val="0"/>
          <w:numId w:val="11"/>
        </w:numPr>
      </w:pPr>
      <w:r>
        <w:t>An area w</w:t>
      </w:r>
      <w:r w:rsidR="00C91775" w:rsidRPr="00DB684E">
        <w:t>here the receiving watercourse passes through a formal public park or there is a formal picnic site;</w:t>
      </w:r>
    </w:p>
    <w:p w14:paraId="5B276F33" w14:textId="77777777" w:rsidR="00C91775" w:rsidRPr="00DB684E" w:rsidRDefault="00C91775" w:rsidP="00542F79">
      <w:pPr>
        <w:pStyle w:val="BodyText1"/>
        <w:numPr>
          <w:ilvl w:val="0"/>
          <w:numId w:val="11"/>
        </w:numPr>
      </w:pPr>
      <w:r w:rsidRPr="00DB684E">
        <w:t>Designated Shellfish waters,</w:t>
      </w:r>
    </w:p>
    <w:p w14:paraId="12E1CDEC" w14:textId="7CD903F8" w:rsidR="00C91775" w:rsidRDefault="00C91775" w:rsidP="00542F79">
      <w:pPr>
        <w:pStyle w:val="BodyText1"/>
        <w:numPr>
          <w:ilvl w:val="0"/>
          <w:numId w:val="11"/>
        </w:numPr>
      </w:pPr>
      <w:r w:rsidRPr="00DB684E">
        <w:t>Waters designated under the Birds and Habitats Directives that are Special Protection Areas or Special Areas of Conservation.</w:t>
      </w:r>
    </w:p>
    <w:p w14:paraId="2CC658E1" w14:textId="022A3672" w:rsidR="00990A28" w:rsidRPr="00990A28" w:rsidRDefault="005C191C" w:rsidP="00542F79">
      <w:pPr>
        <w:pStyle w:val="BodyText1"/>
        <w:numPr>
          <w:ilvl w:val="0"/>
          <w:numId w:val="11"/>
        </w:numPr>
      </w:pPr>
      <w:r w:rsidRPr="00EB1688">
        <w:t>designated Marine Conservation Zones</w:t>
      </w:r>
    </w:p>
    <w:p w14:paraId="1B2F4EB6" w14:textId="3EA528FB" w:rsidR="00C91775" w:rsidRPr="00C47A0B" w:rsidRDefault="00C91775" w:rsidP="00C47A0B">
      <w:pPr>
        <w:pStyle w:val="BodyText1"/>
      </w:pPr>
      <w:r w:rsidRPr="009F360C">
        <w:t xml:space="preserve">A 6mm </w:t>
      </w:r>
      <w:r w:rsidRPr="007B7A6C">
        <w:t>solids separation</w:t>
      </w:r>
      <w:r w:rsidRPr="009F360C">
        <w:t xml:space="preserve"> will be required </w:t>
      </w:r>
      <w:r w:rsidRPr="007B7A6C">
        <w:t xml:space="preserve">and screening of flows for a </w:t>
      </w:r>
      <w:r w:rsidR="00627AA6" w:rsidRPr="007B7A6C">
        <w:t xml:space="preserve">rainfall </w:t>
      </w:r>
      <w:r w:rsidRPr="007B7A6C">
        <w:t xml:space="preserve">return period </w:t>
      </w:r>
      <w:r w:rsidR="00627AA6" w:rsidRPr="007B7A6C">
        <w:t xml:space="preserve">of </w:t>
      </w:r>
      <w:r w:rsidRPr="007B7A6C">
        <w:t xml:space="preserve">greater than 1:5 </w:t>
      </w:r>
      <w:r w:rsidR="00F16C2C" w:rsidRPr="007B7A6C">
        <w:t>years</w:t>
      </w:r>
      <w:r w:rsidRPr="007B7A6C">
        <w:t xml:space="preserve"> may be required.</w:t>
      </w:r>
      <w:r w:rsidRPr="00526A67">
        <w:t xml:space="preserve"> </w:t>
      </w:r>
    </w:p>
    <w:p w14:paraId="00EB5930" w14:textId="287761B9" w:rsidR="00C91775" w:rsidRDefault="00793ECC" w:rsidP="007B7A6C">
      <w:pPr>
        <w:pStyle w:val="Heading3"/>
      </w:pPr>
      <w:bookmarkStart w:id="22" w:name="_Toc178862625"/>
      <w:r>
        <w:t>4.3.2</w:t>
      </w:r>
      <w:r>
        <w:tab/>
      </w:r>
      <w:r w:rsidR="00C91775">
        <w:t>Screens required for m</w:t>
      </w:r>
      <w:r w:rsidR="00D328F9">
        <w:t xml:space="preserve">oderate </w:t>
      </w:r>
      <w:r w:rsidR="00C91775">
        <w:t>amenity locations</w:t>
      </w:r>
      <w:bookmarkEnd w:id="22"/>
    </w:p>
    <w:p w14:paraId="5FC93B56" w14:textId="57CBFACF" w:rsidR="00C91775" w:rsidRDefault="00C91775" w:rsidP="007B7A6C">
      <w:pPr>
        <w:pStyle w:val="BodyText1"/>
      </w:pPr>
      <w:r>
        <w:t>A m</w:t>
      </w:r>
      <w:r w:rsidR="00D328F9">
        <w:t>oderate</w:t>
      </w:r>
      <w:r>
        <w:t xml:space="preserve"> amenity location </w:t>
      </w:r>
      <w:r w:rsidR="00720E54">
        <w:t>influences:</w:t>
      </w:r>
      <w:r>
        <w:t xml:space="preserve"> </w:t>
      </w:r>
    </w:p>
    <w:p w14:paraId="45F63539" w14:textId="21CB3392" w:rsidR="00C91775" w:rsidRPr="00526A67" w:rsidRDefault="00E30C67" w:rsidP="00542F79">
      <w:pPr>
        <w:pStyle w:val="BodyText1"/>
        <w:numPr>
          <w:ilvl w:val="0"/>
          <w:numId w:val="10"/>
        </w:numPr>
      </w:pPr>
      <w:r>
        <w:t>An area w</w:t>
      </w:r>
      <w:r w:rsidR="00C91775" w:rsidRPr="00526A67">
        <w:t xml:space="preserve">here </w:t>
      </w:r>
      <w:r>
        <w:t xml:space="preserve">there </w:t>
      </w:r>
      <w:r w:rsidR="00C91775" w:rsidRPr="00526A67">
        <w:t>is boating on the receiving water</w:t>
      </w:r>
      <w:r w:rsidR="00897CA6">
        <w:t>.</w:t>
      </w:r>
    </w:p>
    <w:p w14:paraId="1164AEFD" w14:textId="0DD3D024" w:rsidR="00C91775" w:rsidRPr="00526A67" w:rsidRDefault="00E30C67" w:rsidP="00542F79">
      <w:pPr>
        <w:pStyle w:val="BodyText1"/>
        <w:numPr>
          <w:ilvl w:val="0"/>
          <w:numId w:val="10"/>
        </w:numPr>
      </w:pPr>
      <w:r>
        <w:t>An area where t</w:t>
      </w:r>
      <w:r w:rsidR="00C91775" w:rsidRPr="00526A67">
        <w:t>here is a popular footpath adjacent to the watercourse</w:t>
      </w:r>
      <w:r w:rsidR="00897CA6">
        <w:t>.</w:t>
      </w:r>
    </w:p>
    <w:p w14:paraId="5E99ED3C" w14:textId="11E49AB2" w:rsidR="00C91775" w:rsidRPr="00526A67" w:rsidRDefault="00E30C67" w:rsidP="00542F79">
      <w:pPr>
        <w:pStyle w:val="BodyText1"/>
        <w:numPr>
          <w:ilvl w:val="0"/>
          <w:numId w:val="10"/>
        </w:numPr>
      </w:pPr>
      <w:r>
        <w:t xml:space="preserve">An area where a </w:t>
      </w:r>
      <w:r w:rsidR="00C91775" w:rsidRPr="00526A67">
        <w:t>watercourse passes through a housing development or frequently used town centre area (e.g. bridge, pedestrian area, shopping area)</w:t>
      </w:r>
      <w:r w:rsidR="00897CA6">
        <w:t>.</w:t>
      </w:r>
    </w:p>
    <w:p w14:paraId="522F0205" w14:textId="0A0F5930" w:rsidR="00C91775" w:rsidRDefault="00897CA6" w:rsidP="00542F79">
      <w:pPr>
        <w:pStyle w:val="BodyText1"/>
        <w:numPr>
          <w:ilvl w:val="0"/>
          <w:numId w:val="10"/>
        </w:numPr>
      </w:pPr>
      <w:r>
        <w:lastRenderedPageBreak/>
        <w:t>An area where t</w:t>
      </w:r>
      <w:r w:rsidR="00C91775" w:rsidRPr="009A0EC4">
        <w:t>here is recreation and water contact sport (non-immersion)</w:t>
      </w:r>
      <w:r w:rsidR="00C91775">
        <w:t>.</w:t>
      </w:r>
    </w:p>
    <w:p w14:paraId="2CC4CA7D" w14:textId="65267699" w:rsidR="00C91775" w:rsidRDefault="00C91775" w:rsidP="007B7A6C">
      <w:pPr>
        <w:pStyle w:val="BodyText1"/>
      </w:pPr>
      <w:r w:rsidRPr="001B4370">
        <w:t xml:space="preserve">A 6mm </w:t>
      </w:r>
      <w:r w:rsidRPr="007B7A6C">
        <w:t>solids separation</w:t>
      </w:r>
      <w:r w:rsidRPr="00433BAE">
        <w:t xml:space="preserve"> will be required. </w:t>
      </w:r>
      <w:r w:rsidR="008F7CA5" w:rsidRPr="00433BAE">
        <w:t xml:space="preserve">This </w:t>
      </w:r>
      <w:r w:rsidRPr="007B7A6C">
        <w:t>applies to all flows up to a 1:5 year rainfall return period</w:t>
      </w:r>
      <w:r w:rsidRPr="00433BAE">
        <w:t>.</w:t>
      </w:r>
    </w:p>
    <w:p w14:paraId="1498F5E7" w14:textId="0728CC82" w:rsidR="00C91775" w:rsidRDefault="00793ECC" w:rsidP="007B7A6C">
      <w:pPr>
        <w:pStyle w:val="Heading3"/>
      </w:pPr>
      <w:bookmarkStart w:id="23" w:name="_Toc178862626"/>
      <w:r>
        <w:t>4.3.3</w:t>
      </w:r>
      <w:r>
        <w:tab/>
      </w:r>
      <w:r w:rsidR="00C91775">
        <w:t>Screens required for low amenity locations</w:t>
      </w:r>
      <w:bookmarkEnd w:id="23"/>
    </w:p>
    <w:p w14:paraId="4B1E6640" w14:textId="7BE20189" w:rsidR="00C91775" w:rsidRDefault="00C91775" w:rsidP="007B7A6C">
      <w:pPr>
        <w:pStyle w:val="BodyText1"/>
      </w:pPr>
      <w:r w:rsidRPr="001B4370">
        <w:t xml:space="preserve"> </w:t>
      </w:r>
      <w:r>
        <w:t xml:space="preserve">A low amenity location </w:t>
      </w:r>
      <w:r w:rsidR="00433BAE">
        <w:t>influences</w:t>
      </w:r>
      <w:r w:rsidR="006C673B">
        <w:t>:</w:t>
      </w:r>
      <w:r>
        <w:t xml:space="preserve"> </w:t>
      </w:r>
    </w:p>
    <w:p w14:paraId="68457C17" w14:textId="093140C6" w:rsidR="00C91775" w:rsidRPr="00526A67" w:rsidRDefault="006C673B" w:rsidP="00542F79">
      <w:pPr>
        <w:pStyle w:val="BodyText1"/>
        <w:numPr>
          <w:ilvl w:val="0"/>
          <w:numId w:val="12"/>
        </w:numPr>
        <w:rPr>
          <w:szCs w:val="32"/>
        </w:rPr>
      </w:pPr>
      <w:r>
        <w:rPr>
          <w:szCs w:val="32"/>
        </w:rPr>
        <w:t>An area that has b</w:t>
      </w:r>
      <w:r w:rsidR="00C91775" w:rsidRPr="00526A67">
        <w:rPr>
          <w:szCs w:val="32"/>
        </w:rPr>
        <w:t>asic amenity use only;</w:t>
      </w:r>
    </w:p>
    <w:p w14:paraId="4CB66C33" w14:textId="4D4C8535" w:rsidR="00C91775" w:rsidRDefault="006C673B" w:rsidP="00542F79">
      <w:pPr>
        <w:pStyle w:val="BodyText1"/>
        <w:numPr>
          <w:ilvl w:val="0"/>
          <w:numId w:val="12"/>
        </w:numPr>
      </w:pPr>
      <w:r>
        <w:t>An area that has c</w:t>
      </w:r>
      <w:r w:rsidR="00C91775" w:rsidRPr="006B1D15">
        <w:t>asual riverside access used on a limited or infrequent basis, such as a road bridge in a rural area, footpath adjacent to a watercourse.</w:t>
      </w:r>
    </w:p>
    <w:p w14:paraId="0D61C54F" w14:textId="5D9CD349" w:rsidR="00C91775" w:rsidRDefault="00C91775" w:rsidP="007B7A6C">
      <w:pPr>
        <w:pStyle w:val="BodyText1"/>
      </w:pPr>
      <w:r w:rsidRPr="00253526">
        <w:t xml:space="preserve">A 10mm </w:t>
      </w:r>
      <w:r w:rsidRPr="007B7A6C">
        <w:t>solids separation</w:t>
      </w:r>
      <w:r w:rsidRPr="00253526">
        <w:t xml:space="preserve"> is</w:t>
      </w:r>
      <w:r w:rsidR="00253526" w:rsidRPr="00253526">
        <w:t xml:space="preserve"> required for</w:t>
      </w:r>
      <w:r w:rsidRPr="00253526">
        <w:t xml:space="preserve"> </w:t>
      </w:r>
      <w:r w:rsidR="00253526" w:rsidRPr="007B7A6C">
        <w:t>all flows up to a 1:5 year rainfall return period</w:t>
      </w:r>
      <w:r w:rsidR="00253526" w:rsidRPr="00253526">
        <w:t xml:space="preserve"> </w:t>
      </w:r>
      <w:r w:rsidRPr="00253526">
        <w:t xml:space="preserve">or best engineering design. </w:t>
      </w:r>
    </w:p>
    <w:p w14:paraId="7ADB26EF" w14:textId="77777777" w:rsidR="00C91775" w:rsidRDefault="00C91775" w:rsidP="00C91775">
      <w:pPr>
        <w:pStyle w:val="TableBullet"/>
        <w:numPr>
          <w:ilvl w:val="0"/>
          <w:numId w:val="0"/>
        </w:numPr>
        <w:spacing w:before="0" w:after="0" w:line="360" w:lineRule="auto"/>
        <w:rPr>
          <w:sz w:val="24"/>
        </w:rPr>
      </w:pPr>
    </w:p>
    <w:p w14:paraId="57AF0D1D" w14:textId="04A80068" w:rsidR="00C91775" w:rsidRPr="00C47A0B" w:rsidRDefault="00793ECC" w:rsidP="00C47A0B">
      <w:pPr>
        <w:pStyle w:val="Heading3"/>
        <w:rPr>
          <w:sz w:val="24"/>
        </w:rPr>
      </w:pPr>
      <w:bookmarkStart w:id="24" w:name="_Toc178862627"/>
      <w:r>
        <w:t>4.3.4</w:t>
      </w:r>
      <w:r>
        <w:tab/>
      </w:r>
      <w:r w:rsidR="00C91775" w:rsidRPr="0093434F">
        <w:t>Screens required for non-amenity locations</w:t>
      </w:r>
      <w:bookmarkEnd w:id="24"/>
    </w:p>
    <w:p w14:paraId="7196FB2E" w14:textId="41A59973" w:rsidR="00C91775" w:rsidRDefault="00C91775" w:rsidP="007B7A6C">
      <w:pPr>
        <w:pStyle w:val="BodyText1"/>
        <w:rPr>
          <w:color w:val="FF0000"/>
        </w:rPr>
      </w:pPr>
      <w:r>
        <w:t xml:space="preserve">A non-amenity location </w:t>
      </w:r>
      <w:r w:rsidR="00253526">
        <w:t>influences:</w:t>
      </w:r>
    </w:p>
    <w:p w14:paraId="482F1842" w14:textId="08FCA2AD" w:rsidR="00C91775" w:rsidRPr="000778F5" w:rsidRDefault="00253526" w:rsidP="00542F79">
      <w:pPr>
        <w:pStyle w:val="BodyText1"/>
        <w:numPr>
          <w:ilvl w:val="0"/>
          <w:numId w:val="13"/>
        </w:numPr>
        <w:rPr>
          <w:color w:val="3C4741" w:themeColor="text1"/>
        </w:rPr>
      </w:pPr>
      <w:r>
        <w:rPr>
          <w:color w:val="3C4741" w:themeColor="text1"/>
        </w:rPr>
        <w:t>Areas that s</w:t>
      </w:r>
      <w:r w:rsidR="00C91775" w:rsidRPr="000778F5">
        <w:rPr>
          <w:color w:val="3C4741" w:themeColor="text1"/>
        </w:rPr>
        <w:t>eldom or never used for amenity purposes;</w:t>
      </w:r>
    </w:p>
    <w:p w14:paraId="51C28241" w14:textId="5EF98EC7" w:rsidR="00C91775" w:rsidRDefault="00253526" w:rsidP="00542F79">
      <w:pPr>
        <w:pStyle w:val="BodyText1"/>
        <w:numPr>
          <w:ilvl w:val="0"/>
          <w:numId w:val="13"/>
        </w:numPr>
        <w:rPr>
          <w:color w:val="3C4741" w:themeColor="text1"/>
        </w:rPr>
      </w:pPr>
      <w:r>
        <w:rPr>
          <w:color w:val="3C4741" w:themeColor="text1"/>
        </w:rPr>
        <w:t>Areas that are r</w:t>
      </w:r>
      <w:r w:rsidR="00C91775" w:rsidRPr="000778F5">
        <w:rPr>
          <w:color w:val="3C4741" w:themeColor="text1"/>
        </w:rPr>
        <w:t>emote or inaccessible.</w:t>
      </w:r>
    </w:p>
    <w:p w14:paraId="39A0D0F9" w14:textId="2425C90B" w:rsidR="00B64D2A" w:rsidRPr="00B64D2A" w:rsidRDefault="00253526" w:rsidP="00C47A0B">
      <w:pPr>
        <w:pStyle w:val="BodyText1"/>
      </w:pPr>
      <w:r w:rsidRPr="002B08D6">
        <w:t xml:space="preserve">A 10mm solids separation is required for all flows up to a 1:5 year rainfall return period or best engineering design. </w:t>
      </w:r>
    </w:p>
    <w:p w14:paraId="19976362" w14:textId="5F7DC1BF" w:rsidR="00B64D2A" w:rsidRPr="0093434F" w:rsidRDefault="00793ECC" w:rsidP="007B7A6C">
      <w:pPr>
        <w:pStyle w:val="Heading3"/>
      </w:pPr>
      <w:bookmarkStart w:id="25" w:name="_Toc178862628"/>
      <w:r>
        <w:t>4.3.5</w:t>
      </w:r>
      <w:r>
        <w:tab/>
      </w:r>
      <w:r w:rsidR="00B64D2A" w:rsidRPr="0093434F">
        <w:t xml:space="preserve">Screens required for </w:t>
      </w:r>
      <w:r w:rsidR="00C47A0B" w:rsidRPr="0093434F">
        <w:t>existing</w:t>
      </w:r>
      <w:r w:rsidR="00B64D2A" w:rsidRPr="0093434F">
        <w:t xml:space="preserve"> </w:t>
      </w:r>
      <w:r w:rsidR="00A80EB1" w:rsidRPr="0093434F">
        <w:t>CSOs</w:t>
      </w:r>
      <w:bookmarkEnd w:id="25"/>
    </w:p>
    <w:p w14:paraId="2B15CC6D" w14:textId="5B9D13E8" w:rsidR="00793ECC" w:rsidRPr="007B7A6C" w:rsidRDefault="00A80EB1" w:rsidP="00C47A0B">
      <w:pPr>
        <w:pStyle w:val="BodyText1"/>
        <w:rPr>
          <w:rFonts w:cs="Arial"/>
        </w:rPr>
      </w:pPr>
      <w:r w:rsidRPr="007B7A6C">
        <w:rPr>
          <w:rFonts w:cs="Arial"/>
        </w:rPr>
        <w:t>E</w:t>
      </w:r>
      <w:r w:rsidR="003F630D" w:rsidRPr="007B7A6C">
        <w:rPr>
          <w:rFonts w:cs="Arial"/>
        </w:rPr>
        <w:t>xisting</w:t>
      </w:r>
      <w:r w:rsidR="006E0DD6" w:rsidRPr="007B7A6C">
        <w:rPr>
          <w:rFonts w:cs="Arial"/>
        </w:rPr>
        <w:t xml:space="preserve"> </w:t>
      </w:r>
      <w:r w:rsidR="00C47A0B" w:rsidRPr="007B7A6C">
        <w:rPr>
          <w:rFonts w:cs="Arial"/>
        </w:rPr>
        <w:t>satisfactory</w:t>
      </w:r>
      <w:r w:rsidR="006E0DD6" w:rsidRPr="007B7A6C">
        <w:rPr>
          <w:rFonts w:cs="Arial"/>
        </w:rPr>
        <w:t xml:space="preserve"> discharge</w:t>
      </w:r>
      <w:r w:rsidR="001007F2">
        <w:rPr>
          <w:rFonts w:cs="Arial"/>
        </w:rPr>
        <w:t>s</w:t>
      </w:r>
      <w:r w:rsidR="006E0DD6" w:rsidRPr="007B7A6C">
        <w:rPr>
          <w:rFonts w:cs="Arial"/>
        </w:rPr>
        <w:t xml:space="preserve"> </w:t>
      </w:r>
      <w:r w:rsidRPr="007B7A6C">
        <w:rPr>
          <w:rFonts w:cs="Arial"/>
        </w:rPr>
        <w:t>will</w:t>
      </w:r>
      <w:r w:rsidR="00124BF8" w:rsidRPr="007B7A6C">
        <w:rPr>
          <w:rFonts w:cs="Arial"/>
        </w:rPr>
        <w:t xml:space="preserve"> </w:t>
      </w:r>
      <w:r w:rsidR="006E0DD6" w:rsidRPr="007B7A6C">
        <w:rPr>
          <w:rFonts w:cs="Arial"/>
        </w:rPr>
        <w:t xml:space="preserve">be licenced as the status quo. </w:t>
      </w:r>
      <w:r w:rsidR="005C0EF0" w:rsidRPr="007B7A6C">
        <w:rPr>
          <w:rFonts w:cs="Arial"/>
        </w:rPr>
        <w:t>E</w:t>
      </w:r>
      <w:r w:rsidR="006E0DD6" w:rsidRPr="007B7A6C">
        <w:rPr>
          <w:rFonts w:cs="Arial"/>
        </w:rPr>
        <w:t>xisting</w:t>
      </w:r>
      <w:r w:rsidR="003F630D" w:rsidRPr="007B7A6C">
        <w:rPr>
          <w:rFonts w:cs="Arial"/>
        </w:rPr>
        <w:t xml:space="preserve"> unsatisfactory discharges</w:t>
      </w:r>
      <w:r w:rsidR="005C0EF0" w:rsidRPr="007B7A6C">
        <w:rPr>
          <w:rFonts w:cs="Arial"/>
        </w:rPr>
        <w:t xml:space="preserve"> </w:t>
      </w:r>
      <w:r w:rsidR="00B07882" w:rsidRPr="007B7A6C">
        <w:rPr>
          <w:rFonts w:cs="Arial"/>
        </w:rPr>
        <w:t xml:space="preserve">for 1 </w:t>
      </w:r>
      <w:r w:rsidR="00C47A0B" w:rsidRPr="007B7A6C">
        <w:rPr>
          <w:rFonts w:cs="Arial"/>
        </w:rPr>
        <w:t>criterion</w:t>
      </w:r>
      <w:r w:rsidR="00B07882" w:rsidRPr="007B7A6C">
        <w:rPr>
          <w:rFonts w:cs="Arial"/>
        </w:rPr>
        <w:t xml:space="preserve"> only will be lice</w:t>
      </w:r>
      <w:r w:rsidR="004374C7" w:rsidRPr="007B7A6C">
        <w:rPr>
          <w:rFonts w:cs="Arial"/>
        </w:rPr>
        <w:t>n</w:t>
      </w:r>
      <w:r w:rsidR="00B07882" w:rsidRPr="007B7A6C">
        <w:rPr>
          <w:rFonts w:cs="Arial"/>
        </w:rPr>
        <w:t xml:space="preserve">ced to remove the reason for the unsatisfactory </w:t>
      </w:r>
      <w:r w:rsidR="004374C7" w:rsidRPr="007B7A6C">
        <w:rPr>
          <w:rFonts w:cs="Arial"/>
        </w:rPr>
        <w:t xml:space="preserve">status. If the reason for this failure is </w:t>
      </w:r>
      <w:r w:rsidR="00C47A0B" w:rsidRPr="007B7A6C">
        <w:rPr>
          <w:rFonts w:cs="Arial"/>
        </w:rPr>
        <w:t>aesthetic</w:t>
      </w:r>
      <w:r w:rsidR="004374C7" w:rsidRPr="007B7A6C">
        <w:rPr>
          <w:rFonts w:cs="Arial"/>
        </w:rPr>
        <w:t xml:space="preserve"> or </w:t>
      </w:r>
      <w:r w:rsidR="0093434F">
        <w:rPr>
          <w:rFonts w:cs="Arial"/>
        </w:rPr>
        <w:t xml:space="preserve">if </w:t>
      </w:r>
      <w:r w:rsidR="004374C7" w:rsidRPr="007B7A6C">
        <w:rPr>
          <w:rFonts w:cs="Arial"/>
        </w:rPr>
        <w:t>2 o</w:t>
      </w:r>
      <w:r w:rsidR="0093434F">
        <w:rPr>
          <w:rFonts w:cs="Arial"/>
        </w:rPr>
        <w:t>r</w:t>
      </w:r>
      <w:r w:rsidR="004374C7" w:rsidRPr="007B7A6C">
        <w:rPr>
          <w:rFonts w:cs="Arial"/>
        </w:rPr>
        <w:t xml:space="preserve"> more unsatisfactory criteria are failed the screen design sho</w:t>
      </w:r>
      <w:r w:rsidR="0093434F">
        <w:rPr>
          <w:rFonts w:cs="Arial"/>
        </w:rPr>
        <w:t>uld</w:t>
      </w:r>
      <w:r w:rsidR="004374C7" w:rsidRPr="007B7A6C">
        <w:rPr>
          <w:rFonts w:cs="Arial"/>
        </w:rPr>
        <w:t xml:space="preserve"> be </w:t>
      </w:r>
      <w:r w:rsidR="00C47A0B" w:rsidRPr="007B7A6C">
        <w:rPr>
          <w:rFonts w:cs="Arial"/>
        </w:rPr>
        <w:t>based</w:t>
      </w:r>
      <w:r w:rsidR="004374C7" w:rsidRPr="007B7A6C">
        <w:rPr>
          <w:rFonts w:cs="Arial"/>
        </w:rPr>
        <w:t xml:space="preserve"> on the </w:t>
      </w:r>
      <w:r w:rsidR="001007F2" w:rsidRPr="007B7A6C">
        <w:rPr>
          <w:rFonts w:cs="Arial"/>
        </w:rPr>
        <w:t xml:space="preserve">amenity of the location. </w:t>
      </w:r>
    </w:p>
    <w:p w14:paraId="7445E5F6" w14:textId="116F7DD1" w:rsidR="00C91775" w:rsidRDefault="004D57DF" w:rsidP="007B7A6C">
      <w:pPr>
        <w:pStyle w:val="Heading2"/>
      </w:pPr>
      <w:bookmarkStart w:id="26" w:name="_Toc178862629"/>
      <w:r>
        <w:lastRenderedPageBreak/>
        <w:t>4</w:t>
      </w:r>
      <w:r w:rsidR="00465823">
        <w:t>.4</w:t>
      </w:r>
      <w:r w:rsidR="00C91775">
        <w:tab/>
        <w:t>Maintenance requirements for CSO</w:t>
      </w:r>
      <w:r w:rsidR="00465823">
        <w:t xml:space="preserve"> screens</w:t>
      </w:r>
      <w:bookmarkEnd w:id="26"/>
    </w:p>
    <w:p w14:paraId="3893F34C" w14:textId="77777777" w:rsidR="00C91775" w:rsidRPr="00526A67" w:rsidRDefault="00C91775" w:rsidP="00C91775">
      <w:pPr>
        <w:pStyle w:val="BodyText"/>
        <w:spacing w:before="0" w:after="0" w:line="360" w:lineRule="auto"/>
        <w:ind w:left="0"/>
        <w:rPr>
          <w:rFonts w:cs="Arial"/>
        </w:rPr>
      </w:pPr>
      <w:r w:rsidRPr="00526A67">
        <w:rPr>
          <w:rFonts w:cs="Arial"/>
        </w:rPr>
        <w:t>Mechanically raked screens should be automatically cleaned. However static screens if not properly cleaned, can blind and the bypass can operate, resulting in the premature discharge of unscreened sewage.  In order to avoid this, an appropriate screen cleaning regime should be implemented based on the requirements of the individual CSO.</w:t>
      </w:r>
    </w:p>
    <w:p w14:paraId="1EE977DD" w14:textId="77777777" w:rsidR="00C91775" w:rsidRPr="00526A67" w:rsidRDefault="00C91775" w:rsidP="00C91775">
      <w:pPr>
        <w:pStyle w:val="BodyText"/>
        <w:spacing w:before="0" w:after="0" w:line="360" w:lineRule="auto"/>
        <w:ind w:left="0"/>
        <w:rPr>
          <w:rFonts w:cs="Arial"/>
        </w:rPr>
      </w:pPr>
    </w:p>
    <w:p w14:paraId="7DA8172C" w14:textId="77777777" w:rsidR="00C91775" w:rsidRPr="00526A67" w:rsidRDefault="00C91775" w:rsidP="00C91775">
      <w:pPr>
        <w:pStyle w:val="BodyText"/>
        <w:spacing w:before="0" w:after="0" w:line="360" w:lineRule="auto"/>
        <w:ind w:left="0"/>
        <w:rPr>
          <w:rFonts w:cs="Arial"/>
        </w:rPr>
      </w:pPr>
      <w:r w:rsidRPr="00526A67">
        <w:rPr>
          <w:rFonts w:cs="Arial"/>
        </w:rPr>
        <w:t>Overflows that are known to operate more often may need more frequent cleaning. In order to plan efficient cleansing visits, telemetry can be used to indicate when a spill has occurred and also when the screen is bypassed (for instance due to the screen being blinded).</w:t>
      </w:r>
    </w:p>
    <w:p w14:paraId="348DF489" w14:textId="77777777" w:rsidR="00C91775" w:rsidRPr="00526A67" w:rsidRDefault="00C91775" w:rsidP="00C91775">
      <w:pPr>
        <w:pStyle w:val="BodyText"/>
        <w:spacing w:before="0" w:after="0" w:line="360" w:lineRule="auto"/>
        <w:ind w:left="0"/>
        <w:rPr>
          <w:rFonts w:cs="Arial"/>
        </w:rPr>
      </w:pPr>
    </w:p>
    <w:p w14:paraId="44EB07DB" w14:textId="77777777" w:rsidR="00C91775" w:rsidRPr="00526A67" w:rsidRDefault="00C91775" w:rsidP="00C91775">
      <w:pPr>
        <w:pStyle w:val="BodyText"/>
        <w:spacing w:before="0" w:after="0" w:line="360" w:lineRule="auto"/>
        <w:ind w:left="0"/>
        <w:rPr>
          <w:rFonts w:cs="Arial"/>
        </w:rPr>
      </w:pPr>
      <w:r w:rsidRPr="00526A67">
        <w:rPr>
          <w:rFonts w:cs="Arial"/>
        </w:rPr>
        <w:t>It would be good practice to record the degree of blinding of the screen prior to cleansing and compare this with design expectations.  Repeated excess blinding may require a redesign of the screen or chamber.</w:t>
      </w:r>
    </w:p>
    <w:p w14:paraId="07993F78" w14:textId="77777777" w:rsidR="00C91775" w:rsidRPr="00526A67" w:rsidRDefault="00C91775" w:rsidP="00C91775">
      <w:pPr>
        <w:pStyle w:val="BodyText"/>
        <w:spacing w:before="0" w:after="0" w:line="360" w:lineRule="auto"/>
        <w:ind w:left="0"/>
        <w:rPr>
          <w:rFonts w:cs="Arial"/>
        </w:rPr>
      </w:pPr>
    </w:p>
    <w:p w14:paraId="1D248915" w14:textId="77777777" w:rsidR="00C91775" w:rsidRPr="00526A67" w:rsidRDefault="00C91775" w:rsidP="00C91775">
      <w:pPr>
        <w:pStyle w:val="BodyText"/>
        <w:spacing w:before="0" w:after="0" w:line="360" w:lineRule="auto"/>
        <w:ind w:left="0"/>
        <w:rPr>
          <w:rFonts w:cs="Arial"/>
        </w:rPr>
      </w:pPr>
      <w:r w:rsidRPr="00526A67">
        <w:rPr>
          <w:rFonts w:cs="Arial"/>
        </w:rPr>
        <w:t xml:space="preserve">CSOs can suffer from structural deterioration, for instance due to </w:t>
      </w:r>
      <w:proofErr w:type="gramStart"/>
      <w:r w:rsidRPr="00526A67">
        <w:rPr>
          <w:rFonts w:cs="Arial"/>
        </w:rPr>
        <w:t>loose</w:t>
      </w:r>
      <w:proofErr w:type="gramEnd"/>
      <w:r w:rsidRPr="00526A67">
        <w:rPr>
          <w:rFonts w:cs="Arial"/>
        </w:rPr>
        <w:t xml:space="preserve"> bricks falling out causing a partial blockage.  These obstructions can quickly rag up with silt building up behind leading to a dry weather overflow.  Premature overflows can also be caused by sediment build up due to slack gradients.  Drainage Area Studies may provide useful information in this regard.</w:t>
      </w:r>
    </w:p>
    <w:p w14:paraId="593706B7" w14:textId="77777777" w:rsidR="00A17FEF" w:rsidRDefault="00A17FEF" w:rsidP="003B0C26"/>
    <w:p w14:paraId="2810AE9E" w14:textId="740A47B0" w:rsidR="00167332" w:rsidRDefault="004D57DF" w:rsidP="002050ED">
      <w:pPr>
        <w:pStyle w:val="Heading1"/>
        <w:rPr>
          <w:rFonts w:eastAsia="Times New Roman"/>
        </w:rPr>
      </w:pPr>
      <w:bookmarkStart w:id="27" w:name="_5._Designing_Storm"/>
      <w:bookmarkStart w:id="28" w:name="_Toc178862630"/>
      <w:bookmarkEnd w:id="27"/>
      <w:r>
        <w:rPr>
          <w:rFonts w:eastAsia="Times New Roman"/>
        </w:rPr>
        <w:t>5</w:t>
      </w:r>
      <w:r w:rsidR="002050ED">
        <w:rPr>
          <w:rFonts w:eastAsia="Times New Roman"/>
        </w:rPr>
        <w:t>.</w:t>
      </w:r>
      <w:r w:rsidR="00167332">
        <w:rPr>
          <w:rFonts w:eastAsia="Times New Roman"/>
        </w:rPr>
        <w:tab/>
      </w:r>
      <w:r w:rsidR="00EF1FBA">
        <w:rPr>
          <w:rFonts w:eastAsia="Times New Roman"/>
        </w:rPr>
        <w:t xml:space="preserve">Designing </w:t>
      </w:r>
      <w:r w:rsidR="00167332">
        <w:rPr>
          <w:rFonts w:eastAsia="Times New Roman"/>
        </w:rPr>
        <w:t>Storm tank</w:t>
      </w:r>
      <w:r w:rsidR="00EF1FBA">
        <w:rPr>
          <w:rFonts w:eastAsia="Times New Roman"/>
        </w:rPr>
        <w:t>s</w:t>
      </w:r>
      <w:bookmarkEnd w:id="28"/>
    </w:p>
    <w:p w14:paraId="5F99E1B9" w14:textId="77777777" w:rsidR="0007375E" w:rsidRPr="00A724BE" w:rsidRDefault="0007375E" w:rsidP="007B7A6C">
      <w:pPr>
        <w:pStyle w:val="BodyText1"/>
      </w:pPr>
      <w:r w:rsidRPr="00A724BE">
        <w:t>Storm tanks protect water quality by</w:t>
      </w:r>
      <w:r>
        <w:t>:</w:t>
      </w:r>
    </w:p>
    <w:p w14:paraId="2D755285" w14:textId="77777777" w:rsidR="0007375E" w:rsidRPr="00A724BE" w:rsidRDefault="0007375E" w:rsidP="00542F79">
      <w:pPr>
        <w:pStyle w:val="BodyText1"/>
        <w:numPr>
          <w:ilvl w:val="0"/>
          <w:numId w:val="14"/>
        </w:numPr>
      </w:pPr>
      <w:r w:rsidRPr="00A724BE">
        <w:t xml:space="preserve">Reducing the frequency and strength of discharges. </w:t>
      </w:r>
    </w:p>
    <w:p w14:paraId="08EB89C4" w14:textId="77777777" w:rsidR="0007375E" w:rsidRPr="00A724BE" w:rsidRDefault="0007375E" w:rsidP="00542F79">
      <w:pPr>
        <w:pStyle w:val="BodyText1"/>
        <w:numPr>
          <w:ilvl w:val="0"/>
          <w:numId w:val="14"/>
        </w:numPr>
      </w:pPr>
      <w:r w:rsidRPr="00A724BE">
        <w:t xml:space="preserve">Delaying any discharge until rainfall increases receiving watercourse flows. </w:t>
      </w:r>
    </w:p>
    <w:p w14:paraId="4F10E8B0" w14:textId="77777777" w:rsidR="0007375E" w:rsidRPr="00A724BE" w:rsidRDefault="0007375E" w:rsidP="00542F79">
      <w:pPr>
        <w:pStyle w:val="BodyText1"/>
        <w:numPr>
          <w:ilvl w:val="0"/>
          <w:numId w:val="14"/>
        </w:numPr>
      </w:pPr>
      <w:r w:rsidRPr="00A724BE">
        <w:t xml:space="preserve">Delaying the discharge until it is weak enough to have minimal impact. </w:t>
      </w:r>
    </w:p>
    <w:p w14:paraId="3448F8F6" w14:textId="64A84C62" w:rsidR="0007375E" w:rsidRPr="007B7A6C" w:rsidRDefault="0007375E" w:rsidP="00542F79">
      <w:pPr>
        <w:pStyle w:val="BodyText1"/>
        <w:numPr>
          <w:ilvl w:val="0"/>
          <w:numId w:val="14"/>
        </w:numPr>
      </w:pPr>
      <w:r w:rsidRPr="00A724BE">
        <w:t xml:space="preserve">Increasing the total amount of sewage retained for pass forward or treatment. </w:t>
      </w:r>
    </w:p>
    <w:p w14:paraId="08EB8B4D" w14:textId="1876999B" w:rsidR="00EF1FBA" w:rsidRPr="007B7A6C" w:rsidRDefault="004D57DF" w:rsidP="007B7A6C">
      <w:pPr>
        <w:pStyle w:val="Heading2"/>
      </w:pPr>
      <w:bookmarkStart w:id="29" w:name="_Toc178862631"/>
      <w:r>
        <w:t>5</w:t>
      </w:r>
      <w:r w:rsidR="00EF1FBA">
        <w:t>.1</w:t>
      </w:r>
      <w:r w:rsidR="00EF1FBA">
        <w:tab/>
        <w:t>Storm tank capacity</w:t>
      </w:r>
      <w:bookmarkEnd w:id="29"/>
      <w:r w:rsidR="00EF1FBA">
        <w:t xml:space="preserve"> </w:t>
      </w:r>
    </w:p>
    <w:p w14:paraId="2846D1FD" w14:textId="77777777" w:rsidR="00167332" w:rsidRPr="00167332" w:rsidRDefault="00167332" w:rsidP="007B7A6C">
      <w:pPr>
        <w:pStyle w:val="BodyText1"/>
      </w:pPr>
      <w:r w:rsidRPr="00167332">
        <w:t>Storm tanks may be located on the sewer network or at various locations at a STW.</w:t>
      </w:r>
    </w:p>
    <w:p w14:paraId="04A8CE7B" w14:textId="434767CB" w:rsidR="00E03CB1" w:rsidRDefault="00167332" w:rsidP="007B7A6C">
      <w:pPr>
        <w:pStyle w:val="BodyText1"/>
      </w:pPr>
      <w:r w:rsidRPr="00167332">
        <w:lastRenderedPageBreak/>
        <w:t>Storm tanks at the inlet to sewage treatment works will provide settlement for flows that exceed the design flow to full treatment (FFT). The industry design standard FFT is 3DWF (i.e. 3PG + I</w:t>
      </w:r>
      <w:r w:rsidRPr="00167332">
        <w:rPr>
          <w:vertAlign w:val="subscript"/>
        </w:rPr>
        <w:t>max</w:t>
      </w:r>
      <w:r w:rsidRPr="00167332">
        <w:t xml:space="preserve"> + 3E)</w:t>
      </w:r>
      <w:r>
        <w:t xml:space="preserve">. </w:t>
      </w:r>
      <w:r w:rsidR="00E03CB1">
        <w:t>S</w:t>
      </w:r>
      <w:r w:rsidRPr="00167332">
        <w:t>torm tanks should be capable of providing either</w:t>
      </w:r>
      <w:r w:rsidR="00E03CB1">
        <w:t>:</w:t>
      </w:r>
    </w:p>
    <w:p w14:paraId="62BEF93E" w14:textId="77777777" w:rsidR="00E03CB1" w:rsidRDefault="00167332" w:rsidP="00542F79">
      <w:pPr>
        <w:pStyle w:val="BodyText1"/>
        <w:numPr>
          <w:ilvl w:val="0"/>
          <w:numId w:val="15"/>
        </w:numPr>
      </w:pPr>
      <w:r w:rsidRPr="00167332">
        <w:t>2 hours storage at 3DWF</w:t>
      </w:r>
      <w:r w:rsidR="00E03CB1">
        <w:t>.</w:t>
      </w:r>
    </w:p>
    <w:p w14:paraId="4FD6F520" w14:textId="45314ABB" w:rsidR="00E03CB1" w:rsidRDefault="00167332" w:rsidP="00542F79">
      <w:pPr>
        <w:pStyle w:val="BodyText1"/>
        <w:numPr>
          <w:ilvl w:val="0"/>
          <w:numId w:val="15"/>
        </w:numPr>
      </w:pPr>
      <w:r w:rsidRPr="00167332">
        <w:t>2 hours storage at Formula ‘A’- FFT</w:t>
      </w:r>
      <w:r w:rsidR="00233360">
        <w:t>.</w:t>
      </w:r>
      <w:r w:rsidRPr="00167332">
        <w:t xml:space="preserve"> </w:t>
      </w:r>
    </w:p>
    <w:p w14:paraId="2F10E33F" w14:textId="3B0D4480" w:rsidR="00E03CB1" w:rsidRDefault="00E03CB1" w:rsidP="00542F79">
      <w:pPr>
        <w:pStyle w:val="BodyText1"/>
        <w:numPr>
          <w:ilvl w:val="0"/>
          <w:numId w:val="15"/>
        </w:numPr>
      </w:pPr>
      <w:r>
        <w:t>A</w:t>
      </w:r>
      <w:r w:rsidR="00167332" w:rsidRPr="00167332">
        <w:t xml:space="preserve"> storage volume equivalent to 68 litres per head, for flows in excess of 3DWF up to Formula A as detailed in Appendix H1 of the </w:t>
      </w:r>
      <w:r w:rsidR="007533B0" w:rsidRPr="007B7A6C">
        <w:t>UWWTR Guidance Note</w:t>
      </w:r>
      <w:r w:rsidR="00167332" w:rsidRPr="00167332">
        <w:t xml:space="preserve"> or by sewer hydraulic and water quality impact modelling. </w:t>
      </w:r>
    </w:p>
    <w:p w14:paraId="06177C49" w14:textId="77777777" w:rsidR="00E03CB1" w:rsidRDefault="00E03CB1" w:rsidP="00167332"/>
    <w:p w14:paraId="02014990" w14:textId="01945217" w:rsidR="00A724BE" w:rsidRDefault="00167332" w:rsidP="007B7A6C">
      <w:pPr>
        <w:pStyle w:val="BodyText1"/>
      </w:pPr>
      <w:r w:rsidRPr="00167332">
        <w:t>Generally</w:t>
      </w:r>
      <w:r w:rsidR="00650BBA">
        <w:t>,</w:t>
      </w:r>
      <w:r w:rsidRPr="00167332">
        <w:t xml:space="preserve"> 2 hours at Formula ‘A’ – FFT is used to calculate storage requirements in cases where FFT is greater than or less than the standard 3DWF. (This provides 2 hours storage at the maximum flow rate to the storm tank). </w:t>
      </w:r>
    </w:p>
    <w:p w14:paraId="0907BEF5" w14:textId="5C3F241A" w:rsidR="00A724BE" w:rsidRDefault="00167332" w:rsidP="007B7A6C">
      <w:pPr>
        <w:pStyle w:val="BodyText1"/>
      </w:pPr>
      <w:r w:rsidRPr="00167332">
        <w:t>Once inlet flows have reduced below FFT, the contents of the storm tank should be returned to the head of the works to receive full treatment. This return can be made manually by operating a valve, or preferably automatically, when the inlet flow falls below a preset level.</w:t>
      </w:r>
    </w:p>
    <w:p w14:paraId="6E58C7BC" w14:textId="74D9084F" w:rsidR="00A724BE" w:rsidRDefault="00167332" w:rsidP="007B7A6C">
      <w:pPr>
        <w:pStyle w:val="BodyText1"/>
      </w:pPr>
      <w:r w:rsidRPr="00301517">
        <w:t>If required, the capacity of storm tanks in the network, i.e. at pumping stations, will need to be based on environmental quality modelling.</w:t>
      </w:r>
      <w:r w:rsidRPr="00167332">
        <w:t xml:space="preserve">  For example</w:t>
      </w:r>
      <w:r w:rsidR="00A724BE">
        <w:t>,</w:t>
      </w:r>
      <w:r w:rsidRPr="00167332">
        <w:t xml:space="preserve"> some pumping stations that pump direct to the STW pump FFT </w:t>
      </w:r>
      <w:r w:rsidR="00A724BE" w:rsidRPr="00A724BE">
        <w:t>flows and have adequate storage based on 68l/h or 2hours at 3DWF or 2 hours at Formula 'A' – FFT.  This is similar to what would happen at the treatment works but this reduces pumping requirements to the STW.</w:t>
      </w:r>
    </w:p>
    <w:p w14:paraId="66D44D76" w14:textId="7635C6F7" w:rsidR="00A724BE" w:rsidRDefault="007533B0" w:rsidP="007B7A6C">
      <w:pPr>
        <w:pStyle w:val="BodyText1"/>
      </w:pPr>
      <w:r w:rsidRPr="007B7A6C">
        <w:t>I</w:t>
      </w:r>
      <w:r w:rsidR="00A724BE" w:rsidRPr="00A724BE">
        <w:t xml:space="preserve">n addition to the above storm tanks, further storage capacity may have to be provided at the STW for CSOs on the inlet sewer depending on the available </w:t>
      </w:r>
      <w:r w:rsidR="00A724BE" w:rsidRPr="007533B0">
        <w:t xml:space="preserve">dilution (see </w:t>
      </w:r>
      <w:hyperlink w:anchor="_4.1._CSO_discharges" w:history="1">
        <w:r w:rsidR="00A724BE" w:rsidRPr="009900D6">
          <w:rPr>
            <w:rStyle w:val="Hyperlink"/>
          </w:rPr>
          <w:t>section 4.</w:t>
        </w:r>
        <w:r w:rsidR="00F34367" w:rsidRPr="007B7A6C">
          <w:rPr>
            <w:rStyle w:val="Hyperlink"/>
          </w:rPr>
          <w:t>1</w:t>
        </w:r>
      </w:hyperlink>
      <w:r w:rsidR="00A724BE" w:rsidRPr="007533B0">
        <w:t>).</w:t>
      </w:r>
    </w:p>
    <w:p w14:paraId="5C372A23" w14:textId="21C99F81" w:rsidR="00167332" w:rsidRDefault="00A724BE" w:rsidP="00C47A0B">
      <w:pPr>
        <w:pStyle w:val="BodyText1"/>
      </w:pPr>
      <w:r w:rsidRPr="00A724BE">
        <w:t xml:space="preserve">SEPA must be satisfied that the proposed capacity will meet the necessary water quality standards. Modelling is likely to be required for more significant discharges in accordance with </w:t>
      </w:r>
      <w:r w:rsidRPr="00A86866">
        <w:t>(</w:t>
      </w:r>
      <w:hyperlink w:anchor="_4.1._CSO_discharges" w:history="1">
        <w:r w:rsidRPr="009900D6">
          <w:rPr>
            <w:rStyle w:val="Hyperlink"/>
          </w:rPr>
          <w:t>section 4.</w:t>
        </w:r>
        <w:r w:rsidR="00AF177D" w:rsidRPr="007B7A6C">
          <w:rPr>
            <w:rStyle w:val="Hyperlink"/>
          </w:rPr>
          <w:t>1</w:t>
        </w:r>
      </w:hyperlink>
      <w:r w:rsidRPr="00A86866">
        <w:t>).</w:t>
      </w:r>
      <w:r w:rsidR="00D55A53" w:rsidRPr="007B7A6C">
        <w:t xml:space="preserve"> </w:t>
      </w:r>
      <w:r w:rsidRPr="00A86866">
        <w:t>The modelling</w:t>
      </w:r>
      <w:r w:rsidRPr="00A724BE">
        <w:t xml:space="preserve"> requirements will be the same for a CSO at a STW as a CSO on a network</w:t>
      </w:r>
      <w:r w:rsidR="00F34367">
        <w:t>.</w:t>
      </w:r>
    </w:p>
    <w:p w14:paraId="2EA55526" w14:textId="198B991D" w:rsidR="00A724BE" w:rsidRDefault="004D57DF" w:rsidP="007B7A6C">
      <w:pPr>
        <w:pStyle w:val="Heading2"/>
        <w:rPr>
          <w:rFonts w:eastAsia="Times New Roman"/>
        </w:rPr>
      </w:pPr>
      <w:bookmarkStart w:id="30" w:name="_Toc178862632"/>
      <w:r>
        <w:rPr>
          <w:rFonts w:eastAsia="Times New Roman"/>
        </w:rPr>
        <w:lastRenderedPageBreak/>
        <w:t>5</w:t>
      </w:r>
      <w:r w:rsidR="00EF1FBA">
        <w:rPr>
          <w:rFonts w:eastAsia="Times New Roman"/>
        </w:rPr>
        <w:t>.2</w:t>
      </w:r>
      <w:r w:rsidR="00A724BE">
        <w:rPr>
          <w:rFonts w:eastAsia="Times New Roman"/>
        </w:rPr>
        <w:tab/>
        <w:t>Storm tank configuration</w:t>
      </w:r>
      <w:bookmarkEnd w:id="30"/>
    </w:p>
    <w:p w14:paraId="06A45612" w14:textId="66FE3785" w:rsidR="00A724BE" w:rsidRDefault="00A724BE" w:rsidP="00A724BE">
      <w:r w:rsidRPr="00A724BE">
        <w:t>Frequently the 68l/</w:t>
      </w:r>
      <w:proofErr w:type="spellStart"/>
      <w:r w:rsidRPr="00A724BE">
        <w:t>hd</w:t>
      </w:r>
      <w:proofErr w:type="spellEnd"/>
      <w:r w:rsidRPr="00A724BE">
        <w:t xml:space="preserve"> (or equivalent) storage requirement at STWs has been incorporated into the primary tanks by increasing their size.  This arrangement has the disadvantage that it does not capture the stronger first flush of sewage, but merely displaces the existing sewage in the primary tanks.  </w:t>
      </w:r>
      <w:r w:rsidR="006B69BF" w:rsidRPr="007B7A6C">
        <w:t>It</w:t>
      </w:r>
      <w:r w:rsidR="006B69BF" w:rsidRPr="006B69BF">
        <w:rPr>
          <w:color w:val="FF0000"/>
        </w:rPr>
        <w:t xml:space="preserve"> </w:t>
      </w:r>
      <w:r w:rsidRPr="00A724BE">
        <w:t>does not delay the onset of a storm discharge and does not increase the amount of sewage passed forward for full treatment.</w:t>
      </w:r>
    </w:p>
    <w:p w14:paraId="19950108" w14:textId="77777777" w:rsidR="006B69BF" w:rsidRPr="00A724BE" w:rsidRDefault="006B69BF" w:rsidP="00A724BE"/>
    <w:p w14:paraId="04A38E9B" w14:textId="77777777" w:rsidR="006B69BF" w:rsidRDefault="00A724BE" w:rsidP="00A724BE">
      <w:r w:rsidRPr="00A724BE">
        <w:t xml:space="preserve">A more satisfactory arrangement consists of a storm tank of 68litres/head (or equivalent) provided as an entirely separate tank for the capture and treatment of storm sewage.  Flows between FFT and Formula A are discharged to this tank which should be empty at the start of a storm and is emptied as soon as possible afterwards.  Such an arrangement should therefore be considered where there is a water quality </w:t>
      </w:r>
      <w:proofErr w:type="gramStart"/>
      <w:r w:rsidRPr="00A724BE">
        <w:t>impact</w:t>
      </w:r>
      <w:proofErr w:type="gramEnd"/>
      <w:r w:rsidRPr="00A724BE">
        <w:t xml:space="preserve"> and a works comes to an appropriate stage in its lifetime for such an asset capability or investment process review.</w:t>
      </w:r>
    </w:p>
    <w:p w14:paraId="24C2EF61" w14:textId="77777777" w:rsidR="006B69BF" w:rsidRDefault="006B69BF" w:rsidP="00A724BE"/>
    <w:p w14:paraId="6AD0DBD5" w14:textId="11A291E0" w:rsidR="00A724BE" w:rsidRPr="00A724BE" w:rsidRDefault="00A724BE" w:rsidP="00A724BE">
      <w:r w:rsidRPr="00172331">
        <w:t>The relative advantages of 'blind' versus 'flow through' storm tanks should be considered. In</w:t>
      </w:r>
      <w:r w:rsidRPr="00A724BE">
        <w:t xml:space="preserve"> low dilution situations where multiple storm tanks may be provided, it may be preferable to have the first storm tank 'blind', since it stores the initial more highly polluting 'first flush'. In this case the first storm tank has no outlet and simply stores the "first flush" which is later pumped back through the treatment works. Should the storm conditions continue, the other storm tanks, which are ‘flow through’ will start to fill. However, by the time they overflow to the watercourse, the river flow should have risen to accommodate storm water flows. The advantage of 'flow through' tanks is that they allow at least partial settlement of the incoming sewage before overflow. Flow through storm tanks are the accepted practice at most STWs with storm tanks.</w:t>
      </w:r>
    </w:p>
    <w:p w14:paraId="1C04BCA6" w14:textId="77777777" w:rsidR="006B69BF" w:rsidRDefault="006B69BF" w:rsidP="00A724BE"/>
    <w:p w14:paraId="66238F58" w14:textId="2041405E" w:rsidR="006B69BF" w:rsidRDefault="004D57DF" w:rsidP="007B7A6C">
      <w:pPr>
        <w:pStyle w:val="Heading1"/>
        <w:rPr>
          <w:rFonts w:eastAsia="Times New Roman"/>
        </w:rPr>
      </w:pPr>
      <w:bookmarkStart w:id="31" w:name="_6._Pumping_station"/>
      <w:bookmarkStart w:id="32" w:name="_Toc178862633"/>
      <w:bookmarkEnd w:id="31"/>
      <w:r>
        <w:rPr>
          <w:rFonts w:eastAsia="Times New Roman"/>
        </w:rPr>
        <w:t>6</w:t>
      </w:r>
      <w:r w:rsidR="00080BD9">
        <w:rPr>
          <w:rFonts w:eastAsia="Times New Roman"/>
        </w:rPr>
        <w:t>.</w:t>
      </w:r>
      <w:r w:rsidR="006B69BF">
        <w:rPr>
          <w:rFonts w:eastAsia="Times New Roman"/>
        </w:rPr>
        <w:tab/>
        <w:t xml:space="preserve">Pumping station </w:t>
      </w:r>
      <w:r w:rsidR="00080BD9">
        <w:rPr>
          <w:rFonts w:eastAsia="Times New Roman"/>
        </w:rPr>
        <w:t>EOs</w:t>
      </w:r>
      <w:bookmarkEnd w:id="32"/>
    </w:p>
    <w:p w14:paraId="678A3FA6" w14:textId="0478FE55" w:rsidR="00615D03" w:rsidRDefault="00615D03" w:rsidP="00615D03">
      <w:pPr>
        <w:pStyle w:val="BodyText"/>
        <w:spacing w:before="0" w:after="0" w:line="360" w:lineRule="auto"/>
        <w:ind w:left="0"/>
        <w:rPr>
          <w:rFonts w:cs="Arial"/>
        </w:rPr>
      </w:pPr>
      <w:r>
        <w:rPr>
          <w:rFonts w:cs="Arial"/>
        </w:rPr>
        <w:t>F</w:t>
      </w:r>
      <w:r w:rsidR="00676380" w:rsidRPr="00526A67">
        <w:rPr>
          <w:rFonts w:cs="Arial"/>
        </w:rPr>
        <w:t>or small, separately sewered catchments (i.e. where there are separate pipes for surface water and foul sewage) it should be possible to 'design out' the need for an EO by utilising storage in the pump wet well and upstream sewers, by use of telemetry to warn of pump failure and/or high level</w:t>
      </w:r>
      <w:r w:rsidR="0049622A">
        <w:rPr>
          <w:rFonts w:cs="Arial"/>
        </w:rPr>
        <w:t xml:space="preserve">s </w:t>
      </w:r>
      <w:r w:rsidR="0049622A" w:rsidRPr="007B7A6C">
        <w:t>of sewage in the wet well</w:t>
      </w:r>
      <w:r w:rsidR="00676380" w:rsidRPr="00526A67">
        <w:rPr>
          <w:rFonts w:cs="Arial"/>
        </w:rPr>
        <w:t xml:space="preserve">, and agreeing an appropriate response time. In such situations, there would be a presumption against providing an EO. Should an EO be deemed essential, which must be justified, then it must be licensed subject to conditions to ensure that measures </w:t>
      </w:r>
      <w:r w:rsidR="00676380" w:rsidRPr="00526A67">
        <w:rPr>
          <w:rFonts w:cs="Arial"/>
        </w:rPr>
        <w:lastRenderedPageBreak/>
        <w:t xml:space="preserve">such as telemetry alarms </w:t>
      </w:r>
      <w:r w:rsidR="00676380" w:rsidRPr="00173F54">
        <w:rPr>
          <w:rFonts w:cs="Arial"/>
        </w:rPr>
        <w:t xml:space="preserve">(refer to </w:t>
      </w:r>
      <w:hyperlink r:id="rId24" w:tooltip="WAT-SG-13: Municipal Sewage Treatment Works (STW)" w:history="1">
        <w:r w:rsidR="00676380" w:rsidRPr="00173F54">
          <w:rPr>
            <w:rStyle w:val="Hyperlink"/>
            <w:rFonts w:eastAsiaTheme="majorEastAsia" w:cs="Arial"/>
          </w:rPr>
          <w:t>WAT-SG-13: Municipal Sewage Treatment Works</w:t>
        </w:r>
        <w:r w:rsidR="00676380" w:rsidRPr="007B7A6C">
          <w:rPr>
            <w:rStyle w:val="Hyperlink"/>
          </w:rPr>
          <w:t>)</w:t>
        </w:r>
      </w:hyperlink>
      <w:r w:rsidR="00676380" w:rsidRPr="00173F54">
        <w:rPr>
          <w:rFonts w:cs="Arial"/>
        </w:rPr>
        <w:t>,</w:t>
      </w:r>
      <w:r w:rsidR="00676380" w:rsidRPr="00526A67">
        <w:rPr>
          <w:rFonts w:cs="Arial"/>
        </w:rPr>
        <w:t xml:space="preserve"> are taken to minimise the frequency, duration and impact of any discharge.</w:t>
      </w:r>
    </w:p>
    <w:p w14:paraId="2739CF0D" w14:textId="77777777" w:rsidR="00615D03" w:rsidRDefault="00615D03" w:rsidP="00615D03">
      <w:pPr>
        <w:pStyle w:val="BodyText"/>
        <w:spacing w:before="0" w:after="0" w:line="360" w:lineRule="auto"/>
        <w:ind w:left="0"/>
        <w:rPr>
          <w:rFonts w:cs="Arial"/>
        </w:rPr>
      </w:pPr>
    </w:p>
    <w:p w14:paraId="572CF5C9" w14:textId="31CB9BC6" w:rsidR="006B69BF" w:rsidRPr="00615D03" w:rsidRDefault="006B69BF" w:rsidP="007B7A6C">
      <w:pPr>
        <w:pStyle w:val="BodyText"/>
        <w:spacing w:before="0" w:after="0" w:line="360" w:lineRule="auto"/>
        <w:ind w:left="0"/>
        <w:rPr>
          <w:rFonts w:cs="Arial"/>
        </w:rPr>
      </w:pPr>
      <w:r w:rsidRPr="006B69BF">
        <w:t xml:space="preserve">Where the installation of an EO can be justified, then to minimise the risk of a discharge, the </w:t>
      </w:r>
      <w:r w:rsidR="00173F54" w:rsidRPr="007B7A6C">
        <w:t>UWWTR Guidance Note</w:t>
      </w:r>
      <w:r w:rsidRPr="006B69BF">
        <w:t xml:space="preserve"> advises a minimum storage capacity equivalent to 1-2 hours storage at 3DWF (3PG + I + 3E).  However, overflows at sensitive locations may warrant significantly greater storage times.</w:t>
      </w:r>
    </w:p>
    <w:p w14:paraId="11B76429" w14:textId="77777777" w:rsidR="006B69BF" w:rsidRPr="006B69BF" w:rsidRDefault="006B69BF" w:rsidP="006B69BF"/>
    <w:p w14:paraId="72DE161B" w14:textId="77777777" w:rsidR="006B69BF" w:rsidRPr="006B69BF" w:rsidRDefault="006B69BF" w:rsidP="006B69BF">
      <w:r w:rsidRPr="006B69BF">
        <w:t>Where operation of the EO would result in partially treated, secondary or tertiary treated effluent being discharged, precautions such as storage tanks may not be justified.</w:t>
      </w:r>
    </w:p>
    <w:p w14:paraId="6B0AD87B" w14:textId="77777777" w:rsidR="0081030C" w:rsidRDefault="006B69BF" w:rsidP="006B69BF">
      <w:r w:rsidRPr="006B69BF">
        <w:t xml:space="preserve">Should a CSO be required at the same location as a pumping station with an EO, there is a risk that if the pumps fail during a CSO overflow event, the result will be the EO operating i.e. the whole sewer volume discharging to the watercourse. The storage volume requirement at such a site should be assessed on a case by case basis as each discharge location will present different risks. </w:t>
      </w:r>
    </w:p>
    <w:p w14:paraId="52232AAF" w14:textId="77777777" w:rsidR="0081030C" w:rsidRDefault="0081030C" w:rsidP="006B69BF"/>
    <w:p w14:paraId="4D02EDD6" w14:textId="5855F5DC" w:rsidR="006B69BF" w:rsidRPr="006B69BF" w:rsidRDefault="006B69BF" w:rsidP="006B69BF">
      <w:r w:rsidRPr="006B69BF">
        <w:t xml:space="preserve">In certain high risk </w:t>
      </w:r>
      <w:proofErr w:type="gramStart"/>
      <w:r w:rsidRPr="006B69BF">
        <w:t>situations</w:t>
      </w:r>
      <w:proofErr w:type="gramEnd"/>
      <w:r w:rsidRPr="006B69BF">
        <w:t xml:space="preserve"> the discharger should be asked to model the scenario of the CSO and the EO operating at the same time against 99%ile river standards to gauge the likely short-term effect on the river. This should demonstrate whether or not a storage requirement over and above the usual EO requirement will be necessary. See also </w:t>
      </w:r>
      <w:hyperlink r:id="rId25" w:tooltip="WAT-SG-13: Municipal Sewage Treatment Works (STW)" w:history="1">
        <w:r w:rsidRPr="006B69BF">
          <w:rPr>
            <w:rStyle w:val="Hyperlink"/>
          </w:rPr>
          <w:t>WAT-SG-13</w:t>
        </w:r>
      </w:hyperlink>
      <w:r w:rsidRPr="006B69BF">
        <w:t>.</w:t>
      </w:r>
    </w:p>
    <w:p w14:paraId="504EB47F" w14:textId="77777777" w:rsidR="006B69BF" w:rsidRDefault="006B69BF" w:rsidP="00A724BE"/>
    <w:p w14:paraId="20C17FBA" w14:textId="4E45351C" w:rsidR="006B69BF" w:rsidRDefault="006B69BF" w:rsidP="00A724BE">
      <w:r>
        <w:t xml:space="preserve">The EO and CSO storage capacity should be over and above that provided within the pump well for the normal fill/pump sequence. This is to ensure that the required storage capacity is always available to be used prior to the operation of the EO and CSO. </w:t>
      </w:r>
    </w:p>
    <w:p w14:paraId="48200FAF" w14:textId="77777777" w:rsidR="00F24529" w:rsidRDefault="00F24529" w:rsidP="00F24529">
      <w:pPr>
        <w:pStyle w:val="BodyText"/>
        <w:spacing w:before="0" w:after="0" w:line="360" w:lineRule="auto"/>
        <w:ind w:left="0"/>
        <w:rPr>
          <w:rFonts w:cs="Arial"/>
        </w:rPr>
      </w:pPr>
    </w:p>
    <w:p w14:paraId="4CBCC505" w14:textId="09C43B35" w:rsidR="00F24529" w:rsidRPr="00526A67" w:rsidRDefault="00F24529" w:rsidP="00F24529">
      <w:pPr>
        <w:pStyle w:val="BodyText"/>
        <w:spacing w:before="0" w:after="0" w:line="360" w:lineRule="auto"/>
        <w:ind w:left="0"/>
        <w:rPr>
          <w:rFonts w:cs="Arial"/>
        </w:rPr>
      </w:pPr>
      <w:r w:rsidRPr="00526A67">
        <w:rPr>
          <w:rFonts w:cs="Arial"/>
        </w:rPr>
        <w:t xml:space="preserve">12-18mm bar screening is acceptable, </w:t>
      </w:r>
      <w:r w:rsidRPr="007B7A6C">
        <w:rPr>
          <w:rFonts w:cs="Arial"/>
        </w:rPr>
        <w:t xml:space="preserve">however the discharger may </w:t>
      </w:r>
      <w:proofErr w:type="spellStart"/>
      <w:proofErr w:type="gramStart"/>
      <w:r w:rsidRPr="007B7A6C">
        <w:rPr>
          <w:rFonts w:cs="Arial"/>
        </w:rPr>
        <w:t>chose</w:t>
      </w:r>
      <w:proofErr w:type="spellEnd"/>
      <w:proofErr w:type="gramEnd"/>
      <w:r w:rsidRPr="007B7A6C">
        <w:rPr>
          <w:rFonts w:cs="Arial"/>
        </w:rPr>
        <w:t xml:space="preserve"> to put in 10mm bar screening.</w:t>
      </w:r>
    </w:p>
    <w:p w14:paraId="0324F012" w14:textId="77777777" w:rsidR="00F24529" w:rsidRDefault="00F24529" w:rsidP="00A724BE"/>
    <w:p w14:paraId="6059B4EC" w14:textId="5AB4B072" w:rsidR="00725F62" w:rsidRDefault="00A160D3" w:rsidP="007B7A6C">
      <w:pPr>
        <w:pStyle w:val="Heading1"/>
        <w:rPr>
          <w:rFonts w:eastAsia="Times New Roman"/>
        </w:rPr>
      </w:pPr>
      <w:bookmarkStart w:id="33" w:name="_Toc178862634"/>
      <w:r>
        <w:rPr>
          <w:rFonts w:eastAsia="Times New Roman"/>
        </w:rPr>
        <w:lastRenderedPageBreak/>
        <w:t>7.</w:t>
      </w:r>
      <w:r>
        <w:rPr>
          <w:rFonts w:eastAsia="Times New Roman"/>
        </w:rPr>
        <w:tab/>
      </w:r>
      <w:r w:rsidR="00725F62">
        <w:rPr>
          <w:rFonts w:eastAsia="Times New Roman"/>
        </w:rPr>
        <w:t>Monitoring and telemetry</w:t>
      </w:r>
      <w:r w:rsidR="00A4130E">
        <w:rPr>
          <w:rFonts w:eastAsia="Times New Roman"/>
        </w:rPr>
        <w:t xml:space="preserve"> requirements</w:t>
      </w:r>
      <w:bookmarkEnd w:id="33"/>
    </w:p>
    <w:p w14:paraId="6C7EABD5" w14:textId="6175853A" w:rsidR="00725F62" w:rsidRDefault="00A160D3" w:rsidP="007B7A6C">
      <w:pPr>
        <w:pStyle w:val="Heading2"/>
      </w:pPr>
      <w:bookmarkStart w:id="34" w:name="_Toc178862635"/>
      <w:r>
        <w:t>7.1</w:t>
      </w:r>
      <w:r w:rsidR="00725F62">
        <w:tab/>
        <w:t>Screen monitoring/telemetry</w:t>
      </w:r>
      <w:bookmarkEnd w:id="34"/>
    </w:p>
    <w:p w14:paraId="6974FCA3" w14:textId="253BF02C" w:rsidR="00725F62" w:rsidRDefault="00725F62" w:rsidP="007B7A6C">
      <w:pPr>
        <w:pStyle w:val="BodyText1"/>
      </w:pPr>
      <w:r w:rsidRPr="00526A67">
        <w:t>Where mechanically raked and other powered screens are newly installed, telemetry must be installed to notify the operator in the event of screen failure.</w:t>
      </w:r>
    </w:p>
    <w:p w14:paraId="34C66FAC" w14:textId="045522A4" w:rsidR="00725F62" w:rsidRPr="00173F54" w:rsidRDefault="00725F62" w:rsidP="007B7A6C">
      <w:pPr>
        <w:pStyle w:val="BodyText1"/>
      </w:pPr>
      <w:r w:rsidRPr="007B7A6C">
        <w:t>Monitoring of screen operation, performance and bypass operation may be required as a licence condition and may include the requirement for telemetry to notify the operator of screen operation or bypass.</w:t>
      </w:r>
    </w:p>
    <w:p w14:paraId="3BB6F6FF" w14:textId="77777777" w:rsidR="00725F62" w:rsidRPr="007B7A6C" w:rsidRDefault="00725F62" w:rsidP="007B7A6C">
      <w:pPr>
        <w:pStyle w:val="BodyText1"/>
      </w:pPr>
      <w:r w:rsidRPr="007B7A6C">
        <w:t>Screen monitoring may be required due to one or more of the following reasons:</w:t>
      </w:r>
    </w:p>
    <w:p w14:paraId="752E627C" w14:textId="77777777" w:rsidR="00725F62" w:rsidRPr="007B7A6C" w:rsidRDefault="00725F62" w:rsidP="00542F79">
      <w:pPr>
        <w:pStyle w:val="BodyText1"/>
        <w:numPr>
          <w:ilvl w:val="0"/>
          <w:numId w:val="16"/>
        </w:numPr>
      </w:pPr>
      <w:r w:rsidRPr="007B7A6C">
        <w:t xml:space="preserve">Post scheme appraisal monitoring to confirm screen not bypassed more than 1 in 5 years on average. </w:t>
      </w:r>
    </w:p>
    <w:p w14:paraId="0F8524B0" w14:textId="77777777" w:rsidR="00725F62" w:rsidRPr="007B7A6C" w:rsidRDefault="00725F62" w:rsidP="00542F79">
      <w:pPr>
        <w:pStyle w:val="BodyText1"/>
        <w:numPr>
          <w:ilvl w:val="0"/>
          <w:numId w:val="16"/>
        </w:numPr>
      </w:pPr>
      <w:r w:rsidRPr="007B7A6C">
        <w:t>Sensitive receiving water environment.</w:t>
      </w:r>
    </w:p>
    <w:p w14:paraId="01DD2E50" w14:textId="77777777" w:rsidR="00725F62" w:rsidRPr="007B7A6C" w:rsidRDefault="00725F62" w:rsidP="00542F79">
      <w:pPr>
        <w:pStyle w:val="BodyText1"/>
        <w:numPr>
          <w:ilvl w:val="0"/>
          <w:numId w:val="16"/>
        </w:numPr>
      </w:pPr>
      <w:r w:rsidRPr="007B7A6C">
        <w:t>Uncertainty in capacity of proposed screen or performance of retrofitted screen.</w:t>
      </w:r>
    </w:p>
    <w:p w14:paraId="1D465349" w14:textId="77777777" w:rsidR="00725F62" w:rsidRPr="007B7A6C" w:rsidRDefault="00725F62" w:rsidP="00542F79">
      <w:pPr>
        <w:pStyle w:val="BodyText1"/>
        <w:numPr>
          <w:ilvl w:val="0"/>
          <w:numId w:val="16"/>
        </w:numPr>
      </w:pPr>
      <w:r w:rsidRPr="007B7A6C">
        <w:t xml:space="preserve">Previous poor performance. </w:t>
      </w:r>
    </w:p>
    <w:p w14:paraId="2DF5CF0C" w14:textId="77777777" w:rsidR="00725F62" w:rsidRPr="00173F54" w:rsidRDefault="00725F62" w:rsidP="00542F79">
      <w:pPr>
        <w:pStyle w:val="BodyText1"/>
        <w:numPr>
          <w:ilvl w:val="0"/>
          <w:numId w:val="16"/>
        </w:numPr>
      </w:pPr>
      <w:r w:rsidRPr="007B7A6C">
        <w:t xml:space="preserve">To notify the operator of a need for a </w:t>
      </w:r>
      <w:proofErr w:type="spellStart"/>
      <w:r w:rsidRPr="007B7A6C">
        <w:t>clean up</w:t>
      </w:r>
      <w:proofErr w:type="spellEnd"/>
      <w:r w:rsidRPr="007B7A6C">
        <w:t xml:space="preserve"> of sewage debris downstream. </w:t>
      </w:r>
    </w:p>
    <w:p w14:paraId="4A14BA54" w14:textId="77777777" w:rsidR="00725F62" w:rsidRDefault="00725F62" w:rsidP="00725F62">
      <w:pPr>
        <w:pStyle w:val="ListBullet"/>
        <w:numPr>
          <w:ilvl w:val="0"/>
          <w:numId w:val="0"/>
        </w:numPr>
        <w:tabs>
          <w:tab w:val="clear" w:pos="1049"/>
          <w:tab w:val="clear" w:pos="1134"/>
          <w:tab w:val="left" w:pos="0"/>
        </w:tabs>
        <w:spacing w:before="0" w:after="0" w:line="360" w:lineRule="auto"/>
        <w:ind w:left="900" w:hanging="360"/>
        <w:rPr>
          <w:rFonts w:cs="Arial"/>
        </w:rPr>
      </w:pPr>
    </w:p>
    <w:p w14:paraId="183D007C" w14:textId="511E9EA8" w:rsidR="00725F62" w:rsidRPr="00526A67" w:rsidRDefault="00725F62" w:rsidP="00725F62">
      <w:pPr>
        <w:pStyle w:val="ListBullet"/>
        <w:numPr>
          <w:ilvl w:val="0"/>
          <w:numId w:val="0"/>
        </w:numPr>
        <w:tabs>
          <w:tab w:val="clear" w:pos="1049"/>
          <w:tab w:val="clear" w:pos="1134"/>
          <w:tab w:val="left" w:pos="0"/>
        </w:tabs>
        <w:spacing w:before="0" w:after="0" w:line="360" w:lineRule="auto"/>
        <w:rPr>
          <w:rFonts w:cs="Arial"/>
        </w:rPr>
      </w:pPr>
      <w:r w:rsidRPr="007B7A6C">
        <w:rPr>
          <w:rFonts w:cs="Arial"/>
        </w:rPr>
        <w:t>The operator</w:t>
      </w:r>
      <w:r w:rsidRPr="00526A67">
        <w:rPr>
          <w:rFonts w:cs="Arial"/>
        </w:rPr>
        <w:t xml:space="preserve"> may wish to apply additional monitoring to that required by the licence in order to identify the need for manual screen cleansing or a sewage debris clean up.</w:t>
      </w:r>
    </w:p>
    <w:p w14:paraId="774851F6" w14:textId="77777777" w:rsidR="00725F62" w:rsidRDefault="00725F62" w:rsidP="00725F62"/>
    <w:p w14:paraId="2C7D3E0F" w14:textId="1EB96BE6" w:rsidR="00725F62" w:rsidRDefault="00C769B1" w:rsidP="007B7A6C">
      <w:pPr>
        <w:pStyle w:val="Heading2"/>
      </w:pPr>
      <w:bookmarkStart w:id="35" w:name="_Toc178862636"/>
      <w:r>
        <w:t>7.2</w:t>
      </w:r>
      <w:r w:rsidR="00725F62">
        <w:tab/>
        <w:t>Overflow monitoring/telemetry</w:t>
      </w:r>
      <w:bookmarkEnd w:id="35"/>
    </w:p>
    <w:p w14:paraId="5BC28A4F" w14:textId="77777777" w:rsidR="00725F62" w:rsidRPr="00526A67" w:rsidRDefault="00725F62" w:rsidP="00725F62">
      <w:pPr>
        <w:pStyle w:val="BodyText"/>
        <w:spacing w:before="0" w:after="0" w:line="360" w:lineRule="auto"/>
        <w:ind w:left="0"/>
        <w:rPr>
          <w:rFonts w:cs="Arial"/>
        </w:rPr>
      </w:pPr>
      <w:r w:rsidRPr="00526A67">
        <w:rPr>
          <w:rFonts w:cs="Arial"/>
        </w:rPr>
        <w:t xml:space="preserve">Modelling of CSO spill frequency is based typically upon very limited sewer flow data. The installation of event monitors or flow loggers or the provision of access facilities to install these monitors needs to be considered for all new and modified CSOs. However, the installation of event recorders and particularly flow monitoring devices can constitute a significant proportion of scheme costs. </w:t>
      </w:r>
      <w:r w:rsidRPr="007B7A6C">
        <w:rPr>
          <w:rFonts w:cs="Arial"/>
        </w:rPr>
        <w:t>For the majority of schemes, once the collection system has been brought up to UWWTR standards, or an existing intermittent discharge has been categorised as satisfactory, the need for monitoring is minimal.</w:t>
      </w:r>
    </w:p>
    <w:p w14:paraId="5140CFC4" w14:textId="77777777" w:rsidR="00725F62" w:rsidRPr="00526A67" w:rsidRDefault="00725F62" w:rsidP="00725F62">
      <w:pPr>
        <w:pStyle w:val="BodyText"/>
        <w:spacing w:before="0" w:after="0" w:line="360" w:lineRule="auto"/>
        <w:ind w:left="0"/>
        <w:rPr>
          <w:rFonts w:cs="Arial"/>
        </w:rPr>
      </w:pPr>
    </w:p>
    <w:p w14:paraId="3E6F6E97" w14:textId="56994A62" w:rsidR="00725F62" w:rsidRPr="00526A67" w:rsidRDefault="00725F62" w:rsidP="00725F62">
      <w:pPr>
        <w:pStyle w:val="BodyText"/>
        <w:spacing w:before="0" w:after="0" w:line="360" w:lineRule="auto"/>
        <w:ind w:left="0"/>
        <w:rPr>
          <w:rFonts w:cs="Arial"/>
        </w:rPr>
      </w:pPr>
      <w:r w:rsidRPr="00526A67">
        <w:rPr>
          <w:rFonts w:cs="Arial"/>
        </w:rPr>
        <w:t xml:space="preserve">Flow/event monitoring requirements at STWs are detailed in </w:t>
      </w:r>
      <w:hyperlink r:id="rId26" w:tooltip="WAT-SG-13: Municipal Sewage Treatment Works (STW)" w:history="1">
        <w:r w:rsidRPr="00526A67">
          <w:rPr>
            <w:rStyle w:val="Hyperlink"/>
            <w:rFonts w:eastAsiaTheme="majorEastAsia" w:cs="Arial"/>
          </w:rPr>
          <w:t>WAT-SG-13</w:t>
        </w:r>
      </w:hyperlink>
      <w:r w:rsidRPr="00526A67">
        <w:rPr>
          <w:rFonts w:cs="Arial"/>
        </w:rPr>
        <w:t>.</w:t>
      </w:r>
    </w:p>
    <w:p w14:paraId="16A390CC" w14:textId="77777777" w:rsidR="00725F62" w:rsidRDefault="00725F62" w:rsidP="00725F62"/>
    <w:p w14:paraId="1BF696B6" w14:textId="120A68BD" w:rsidR="00725F62" w:rsidRPr="00526A67" w:rsidRDefault="00C769B1" w:rsidP="007B7A6C">
      <w:pPr>
        <w:pStyle w:val="Heading3"/>
      </w:pPr>
      <w:bookmarkStart w:id="36" w:name="_Toc178862637"/>
      <w:r>
        <w:t>7.2.1</w:t>
      </w:r>
      <w:r>
        <w:tab/>
      </w:r>
      <w:r w:rsidR="00725F62" w:rsidRPr="00526A67">
        <w:t>Event Monitoring</w:t>
      </w:r>
      <w:bookmarkEnd w:id="36"/>
    </w:p>
    <w:p w14:paraId="55E9F202" w14:textId="12C241CC" w:rsidR="00725F62" w:rsidRPr="00526A67" w:rsidRDefault="00725F62" w:rsidP="007B7A6C">
      <w:pPr>
        <w:pStyle w:val="BodyText1"/>
      </w:pPr>
      <w:r w:rsidRPr="00526A67">
        <w:t>Event monitoring provides the date and start and stop time of overflow events.  Such monitoring may be required for a number of reasons:</w:t>
      </w:r>
    </w:p>
    <w:p w14:paraId="0AF60A93" w14:textId="77777777" w:rsidR="00725F62" w:rsidRPr="00526A67" w:rsidRDefault="00725F62" w:rsidP="00542F79">
      <w:pPr>
        <w:pStyle w:val="BodyText1"/>
        <w:numPr>
          <w:ilvl w:val="0"/>
          <w:numId w:val="17"/>
        </w:numPr>
      </w:pPr>
      <w:r w:rsidRPr="00526A67">
        <w:t>To validate model predictions and to ensure that sufficient data is available for future reviews</w:t>
      </w:r>
      <w:r>
        <w:t>.</w:t>
      </w:r>
    </w:p>
    <w:p w14:paraId="1C0066B2" w14:textId="4162E5BB" w:rsidR="00725F62" w:rsidRPr="00526A67" w:rsidRDefault="00725F62" w:rsidP="00542F79">
      <w:pPr>
        <w:pStyle w:val="BodyText1"/>
        <w:numPr>
          <w:ilvl w:val="0"/>
          <w:numId w:val="17"/>
        </w:numPr>
      </w:pPr>
      <w:r w:rsidRPr="00526A67">
        <w:t>To ensure that spill frequencies are as modelled and designed, specifically at medium or high sensitivity sites</w:t>
      </w:r>
    </w:p>
    <w:p w14:paraId="56708478" w14:textId="77777777" w:rsidR="00725F62" w:rsidRPr="00526A67" w:rsidRDefault="00725F62" w:rsidP="00542F79">
      <w:pPr>
        <w:pStyle w:val="BodyText1"/>
        <w:numPr>
          <w:ilvl w:val="0"/>
          <w:numId w:val="17"/>
        </w:numPr>
      </w:pPr>
      <w:r w:rsidRPr="00526A67">
        <w:t>To investigate water quality problems which may arise from premature operation</w:t>
      </w:r>
      <w:r>
        <w:t>.</w:t>
      </w:r>
    </w:p>
    <w:p w14:paraId="2AECDEBB" w14:textId="7D08DBF0" w:rsidR="00725F62" w:rsidRDefault="00725F62" w:rsidP="007B7A6C">
      <w:pPr>
        <w:pStyle w:val="BodyText1"/>
      </w:pPr>
      <w:r w:rsidRPr="00526A67">
        <w:t>Installation of these monitors may be temporary.</w:t>
      </w:r>
    </w:p>
    <w:p w14:paraId="2B743851" w14:textId="5D9CD427" w:rsidR="00F10D74" w:rsidRPr="00526A67" w:rsidRDefault="003B3278" w:rsidP="007B7A6C">
      <w:pPr>
        <w:pStyle w:val="BodyText1"/>
      </w:pPr>
      <w:r>
        <w:t xml:space="preserve">The event recording requirements for new or modified </w:t>
      </w:r>
      <w:r w:rsidR="00F10D74">
        <w:t>CSOs on the sewer network are:</w:t>
      </w:r>
    </w:p>
    <w:p w14:paraId="3BDBFE32" w14:textId="227914AC" w:rsidR="00725F62" w:rsidRPr="00526A67" w:rsidRDefault="00725F62" w:rsidP="00F10D74">
      <w:pPr>
        <w:pStyle w:val="BodyText1"/>
        <w:numPr>
          <w:ilvl w:val="0"/>
          <w:numId w:val="30"/>
        </w:numPr>
      </w:pPr>
      <w:r w:rsidRPr="00526A67">
        <w:t xml:space="preserve">Discharges liable to impact bathing and/or shellfish waters </w:t>
      </w:r>
      <w:r w:rsidR="001650C8">
        <w:t>will</w:t>
      </w:r>
      <w:r w:rsidRPr="00920C29">
        <w:t xml:space="preserve"> require the installation and use of </w:t>
      </w:r>
      <w:r w:rsidR="00764323">
        <w:t xml:space="preserve">permanent </w:t>
      </w:r>
      <w:r w:rsidRPr="00920C29">
        <w:t xml:space="preserve">event monitors </w:t>
      </w:r>
      <w:r w:rsidRPr="007B7A6C">
        <w:t>to provide an annual record of spill frequency and to enable SEPA to audit performance against the design spill standard.</w:t>
      </w:r>
    </w:p>
    <w:p w14:paraId="022496A6" w14:textId="77777777" w:rsidR="00CD64FE" w:rsidRDefault="008C631F" w:rsidP="00F10D74">
      <w:pPr>
        <w:pStyle w:val="BodyText1"/>
        <w:numPr>
          <w:ilvl w:val="0"/>
          <w:numId w:val="30"/>
        </w:numPr>
      </w:pPr>
      <w:r>
        <w:t xml:space="preserve">Discharge from </w:t>
      </w:r>
      <w:r w:rsidR="00232585">
        <w:rPr>
          <w:rFonts w:cstheme="minorHAnsi"/>
        </w:rPr>
        <w:t>≤</w:t>
      </w:r>
      <w:r w:rsidR="00232585">
        <w:t xml:space="preserve">2000 pe require access to install an event </w:t>
      </w:r>
      <w:r w:rsidR="00CD64FE">
        <w:t xml:space="preserve">monitor. </w:t>
      </w:r>
    </w:p>
    <w:p w14:paraId="5FFE3DD9" w14:textId="7D56B32C" w:rsidR="00725F62" w:rsidRDefault="00725F62" w:rsidP="00F10D74">
      <w:pPr>
        <w:pStyle w:val="BodyText1"/>
        <w:numPr>
          <w:ilvl w:val="0"/>
          <w:numId w:val="30"/>
        </w:numPr>
      </w:pPr>
      <w:r w:rsidRPr="00526A67">
        <w:t>Networks serving &gt;2000pe require overflow event recorders for new or modified overflows</w:t>
      </w:r>
      <w:r w:rsidR="00227EEF">
        <w:t xml:space="preserve"> unless modelling </w:t>
      </w:r>
      <w:r w:rsidR="000E7680">
        <w:t xml:space="preserve">shows </w:t>
      </w:r>
      <w:r w:rsidR="00484043">
        <w:t xml:space="preserve">the overflow will </w:t>
      </w:r>
      <w:r w:rsidR="00E47421">
        <w:t>discharges less frequently than 1 in 5 years</w:t>
      </w:r>
      <w:r w:rsidRPr="00526A67">
        <w:t>.</w:t>
      </w:r>
    </w:p>
    <w:p w14:paraId="3797978F" w14:textId="460129AD" w:rsidR="00725F62" w:rsidRPr="00526A67" w:rsidRDefault="00EC20F4" w:rsidP="007B7A6C">
      <w:pPr>
        <w:pStyle w:val="Heading3"/>
      </w:pPr>
      <w:bookmarkStart w:id="37" w:name="_Toc178862638"/>
      <w:r>
        <w:t>7.2.2</w:t>
      </w:r>
      <w:r>
        <w:tab/>
      </w:r>
      <w:r w:rsidR="00725F62" w:rsidRPr="00526A67">
        <w:t>Flow Monitoring</w:t>
      </w:r>
      <w:bookmarkEnd w:id="37"/>
    </w:p>
    <w:p w14:paraId="460E380A" w14:textId="2EB6E399" w:rsidR="00725F62" w:rsidRPr="00526A67" w:rsidRDefault="00725F62" w:rsidP="007B7A6C">
      <w:pPr>
        <w:pStyle w:val="BodyText1"/>
      </w:pPr>
      <w:r w:rsidRPr="00526A67">
        <w:t>In-sewer flow monitoring provides more useful information than event monitoring which is dependent on rainfall events and characteristics.</w:t>
      </w:r>
    </w:p>
    <w:p w14:paraId="57D6CE98" w14:textId="2BEDE559" w:rsidR="00725F62" w:rsidRPr="00526A67" w:rsidRDefault="00725F62" w:rsidP="007B7A6C">
      <w:pPr>
        <w:pStyle w:val="BodyText1"/>
      </w:pPr>
      <w:r w:rsidRPr="00526A67">
        <w:t>Flow monitors can provide information on whether pass forward flows are being maintained or dry weather flows being exceeded and can also provide estimates of spill volumes.</w:t>
      </w:r>
    </w:p>
    <w:p w14:paraId="60E0F05B" w14:textId="234B749D" w:rsidR="00AA26AF" w:rsidRDefault="00AA26AF" w:rsidP="00AA26AF">
      <w:pPr>
        <w:pStyle w:val="BodyText1"/>
      </w:pPr>
      <w:r>
        <w:lastRenderedPageBreak/>
        <w:t>The flow recording requirements for new or modified CSOs on the sewer network are:</w:t>
      </w:r>
    </w:p>
    <w:p w14:paraId="7A730E4C" w14:textId="77777777" w:rsidR="00286893" w:rsidRDefault="00286893" w:rsidP="00286893">
      <w:pPr>
        <w:pStyle w:val="BodyText1"/>
        <w:numPr>
          <w:ilvl w:val="0"/>
          <w:numId w:val="31"/>
        </w:numPr>
      </w:pPr>
      <w:r>
        <w:t>For all discharges there must be the ability to install flow monitoring devices both upstream and downstream of the CSO.</w:t>
      </w:r>
    </w:p>
    <w:p w14:paraId="04086512" w14:textId="17878A5A" w:rsidR="00725F62" w:rsidRPr="00526A67" w:rsidRDefault="00725F62" w:rsidP="001F5C45">
      <w:pPr>
        <w:pStyle w:val="BodyText1"/>
        <w:numPr>
          <w:ilvl w:val="0"/>
          <w:numId w:val="31"/>
        </w:numPr>
      </w:pPr>
      <w:r w:rsidRPr="00272314">
        <w:t>If the design spill frequency for discharges liable to impact bathing and/or shellfish waters is exceeded and/or there are impacts on water use, the installation of flow monitoring devices in the upstream and downstream sewer may be required.</w:t>
      </w:r>
    </w:p>
    <w:p w14:paraId="6E56E420" w14:textId="39B86CB9" w:rsidR="00725F62" w:rsidRPr="00526A67" w:rsidRDefault="005D305B" w:rsidP="006A55C0">
      <w:pPr>
        <w:pStyle w:val="BodyText1"/>
        <w:numPr>
          <w:ilvl w:val="0"/>
          <w:numId w:val="31"/>
        </w:numPr>
      </w:pPr>
      <w:r>
        <w:t>F</w:t>
      </w:r>
      <w:r w:rsidR="00725F62" w:rsidRPr="00526A67">
        <w:t>or discharges &gt;2000pe to a watercourse</w:t>
      </w:r>
      <w:r w:rsidR="002950EE">
        <w:t>,</w:t>
      </w:r>
      <w:r w:rsidR="00725F62" w:rsidRPr="00526A67">
        <w:t xml:space="preserve"> where the </w:t>
      </w:r>
      <w:r w:rsidR="007C1448">
        <w:t xml:space="preserve">dilution is less </w:t>
      </w:r>
      <w:r w:rsidR="00725F62" w:rsidRPr="00526A67">
        <w:t xml:space="preserve">than 8:1 (river Q95 </w:t>
      </w:r>
      <w:proofErr w:type="spellStart"/>
      <w:r w:rsidR="00725F62" w:rsidRPr="00526A67">
        <w:t>flow:sewer</w:t>
      </w:r>
      <w:proofErr w:type="spellEnd"/>
      <w:r w:rsidR="00725F62" w:rsidRPr="00526A67">
        <w:t xml:space="preserve"> DWF) then </w:t>
      </w:r>
      <w:r w:rsidR="0066343D">
        <w:t>perm</w:t>
      </w:r>
      <w:r w:rsidR="002950EE">
        <w:t>ane</w:t>
      </w:r>
      <w:r w:rsidR="0066343D">
        <w:t xml:space="preserve">nt </w:t>
      </w:r>
      <w:r w:rsidR="00725F62" w:rsidRPr="00526A67">
        <w:t>flow monitoring is required</w:t>
      </w:r>
      <w:r w:rsidR="0066343D">
        <w:t xml:space="preserve"> downstream of the discharge</w:t>
      </w:r>
      <w:r w:rsidR="00CD485B">
        <w:t xml:space="preserve"> and the ability to install flow monitoring upstream of the </w:t>
      </w:r>
      <w:r w:rsidR="0016360F">
        <w:t>discharge</w:t>
      </w:r>
      <w:r w:rsidR="00833F39">
        <w:t xml:space="preserve"> is required. </w:t>
      </w:r>
      <w:r w:rsidR="00C7345D">
        <w:t xml:space="preserve">The exception to this is </w:t>
      </w:r>
      <w:r w:rsidR="00725F62">
        <w:t>where</w:t>
      </w:r>
      <w:r w:rsidR="00725F62" w:rsidRPr="00526A67">
        <w:t>:</w:t>
      </w:r>
    </w:p>
    <w:p w14:paraId="78CE1FB5" w14:textId="3C28B122" w:rsidR="00725F62" w:rsidRPr="00526A67" w:rsidRDefault="00725F62" w:rsidP="006A55C0">
      <w:pPr>
        <w:pStyle w:val="BodyText1"/>
        <w:numPr>
          <w:ilvl w:val="0"/>
          <w:numId w:val="32"/>
        </w:numPr>
      </w:pPr>
      <w:r>
        <w:t>T</w:t>
      </w:r>
      <w:r w:rsidRPr="00526A67">
        <w:t>here is a gravity sewer downstream with an overflow which cannot be adjusted.  However permanent flow monitoring is required where pass forward flows may be controlled by an adjustable penstock, weir plate, or by variations in pumping (i.e. CSOs at pumping stations).</w:t>
      </w:r>
    </w:p>
    <w:p w14:paraId="15BBFB4F" w14:textId="5C86A00C" w:rsidR="00725F62" w:rsidRDefault="00E52F89" w:rsidP="006A55C0">
      <w:pPr>
        <w:pStyle w:val="BodyText1"/>
        <w:numPr>
          <w:ilvl w:val="0"/>
          <w:numId w:val="32"/>
        </w:numPr>
      </w:pPr>
      <w:r>
        <w:t>T</w:t>
      </w:r>
      <w:r w:rsidR="00725F62" w:rsidRPr="00526A67">
        <w:t>he modelling indicates that the overflow will discharge less frequently than 1 in 5 years.</w:t>
      </w:r>
    </w:p>
    <w:p w14:paraId="349A6DF2" w14:textId="7A5DD8BB" w:rsidR="00725F62" w:rsidRDefault="00725F62" w:rsidP="00C47A0B">
      <w:pPr>
        <w:pStyle w:val="BodyText1"/>
      </w:pPr>
      <w:r w:rsidRPr="00526A67">
        <w:t>If licence says reporting or recording should be ‘as agreed in writing with SEPA’, then it should be decided whether this is required.  This should be done on a risk assessed basis i.e. reporting required for higher risk/low dilution situations.</w:t>
      </w:r>
    </w:p>
    <w:p w14:paraId="23789FC1" w14:textId="3CA93A57" w:rsidR="00725F62" w:rsidRDefault="00090231" w:rsidP="007B7A6C">
      <w:pPr>
        <w:pStyle w:val="Heading2"/>
      </w:pPr>
      <w:bookmarkStart w:id="38" w:name="_Toc178862639"/>
      <w:r>
        <w:t>7.3</w:t>
      </w:r>
      <w:r>
        <w:tab/>
      </w:r>
      <w:r w:rsidR="00725F62">
        <w:t>Sewage pumping station with storm overflows</w:t>
      </w:r>
      <w:bookmarkEnd w:id="38"/>
    </w:p>
    <w:p w14:paraId="6595637C" w14:textId="332722E3" w:rsidR="00725F62" w:rsidRPr="00526A67" w:rsidRDefault="00725F62" w:rsidP="007B7A6C">
      <w:pPr>
        <w:pStyle w:val="BodyText1"/>
      </w:pPr>
      <w:r w:rsidRPr="00526A67">
        <w:t>These should be dealt with as for CSO structures. However, a measurement of pump capacities can provide the pass forward flow, and a record of pump run-times may enable estimations to be made of the volumes of sewage passed forward</w:t>
      </w:r>
      <w:r>
        <w:t xml:space="preserve">. However, </w:t>
      </w:r>
      <w:r w:rsidRPr="00526A67">
        <w:t>pump rates may deteriorate over time.  In high-risk locations event recorders and inlet flow structures/recorders may be justified</w:t>
      </w:r>
      <w:r w:rsidRPr="007B7A6C">
        <w:t>.</w:t>
      </w:r>
    </w:p>
    <w:p w14:paraId="2F168AFA" w14:textId="77777777" w:rsidR="00725F62" w:rsidRDefault="00725F62" w:rsidP="00725F62"/>
    <w:p w14:paraId="0EDE6720" w14:textId="7F722A4A" w:rsidR="00725F62" w:rsidRDefault="00CE7417" w:rsidP="007B7A6C">
      <w:pPr>
        <w:pStyle w:val="Heading2"/>
      </w:pPr>
      <w:bookmarkStart w:id="39" w:name="_Toc178862640"/>
      <w:r>
        <w:lastRenderedPageBreak/>
        <w:t>7.4</w:t>
      </w:r>
      <w:r w:rsidR="00725F62">
        <w:tab/>
        <w:t>Recording and reporting</w:t>
      </w:r>
      <w:bookmarkEnd w:id="39"/>
    </w:p>
    <w:p w14:paraId="0526E2FD" w14:textId="77777777" w:rsidR="00725F62" w:rsidRPr="00526A67" w:rsidRDefault="00725F62" w:rsidP="007B7A6C">
      <w:pPr>
        <w:pStyle w:val="BodyText1"/>
      </w:pPr>
      <w:r w:rsidRPr="00526A67">
        <w:t>The details of recording and reporting vary according to the licence.</w:t>
      </w:r>
    </w:p>
    <w:p w14:paraId="5B7C41AC" w14:textId="77777777" w:rsidR="00725F62" w:rsidRPr="00526A67" w:rsidRDefault="00725F62" w:rsidP="007B7A6C">
      <w:pPr>
        <w:pStyle w:val="BodyText1"/>
      </w:pPr>
      <w:r w:rsidRPr="00526A67">
        <w:t>For flow monitors this may include the pass forward flows and DWF.</w:t>
      </w:r>
    </w:p>
    <w:p w14:paraId="47D9F7DF" w14:textId="77777777" w:rsidR="00725F62" w:rsidRPr="00526A67" w:rsidRDefault="00725F62" w:rsidP="007B7A6C">
      <w:pPr>
        <w:pStyle w:val="BodyText1"/>
      </w:pPr>
      <w:r w:rsidRPr="00526A67">
        <w:t>For event monitors this may include the start/stop time and date of each overflow event.</w:t>
      </w:r>
    </w:p>
    <w:p w14:paraId="75A3B61C" w14:textId="26A1D02B" w:rsidR="00725F62" w:rsidRPr="00526A67" w:rsidRDefault="00725F62" w:rsidP="007B7A6C">
      <w:pPr>
        <w:pStyle w:val="BodyText1"/>
      </w:pPr>
      <w:r w:rsidRPr="00526A67">
        <w:t xml:space="preserve">Further details for STWs are provided in the Recording and Reporting sections in </w:t>
      </w:r>
      <w:hyperlink r:id="rId27" w:tooltip="WAT-SG-13: Municipal Sewage Treatment Works (STW)" w:history="1">
        <w:r w:rsidRPr="005343B2">
          <w:rPr>
            <w:rStyle w:val="Hyperlink"/>
            <w:rFonts w:eastAsiaTheme="majorEastAsia" w:cs="Arial"/>
          </w:rPr>
          <w:t>WAT-SG-13</w:t>
        </w:r>
      </w:hyperlink>
      <w:r w:rsidRPr="00526A67">
        <w:t>.</w:t>
      </w:r>
    </w:p>
    <w:p w14:paraId="27F8C12E" w14:textId="41C386D9" w:rsidR="006B69BF" w:rsidRDefault="00725F62" w:rsidP="007B7A6C">
      <w:pPr>
        <w:pStyle w:val="BodyText1"/>
      </w:pPr>
      <w:r w:rsidRPr="00526A67">
        <w:t>For overflows on the sewer network, routine reporting should be conditioned in the licence if there is an environmental need such as low dilution.</w:t>
      </w:r>
    </w:p>
    <w:p w14:paraId="4D2A8761" w14:textId="77777777" w:rsidR="002F5E22" w:rsidRPr="00A8603F" w:rsidRDefault="002F5E22" w:rsidP="00A8603F"/>
    <w:p w14:paraId="5912DAB9" w14:textId="01C511C9" w:rsidR="00FF2DD2" w:rsidRDefault="006802F9" w:rsidP="006802F9">
      <w:pPr>
        <w:pStyle w:val="Heading1"/>
        <w:rPr>
          <w:rFonts w:eastAsia="Times New Roman"/>
        </w:rPr>
      </w:pPr>
      <w:bookmarkStart w:id="40" w:name="_Toc178862641"/>
      <w:r>
        <w:rPr>
          <w:rFonts w:eastAsia="Times New Roman"/>
        </w:rPr>
        <w:t>Annex 1</w:t>
      </w:r>
      <w:r w:rsidR="00A070F0">
        <w:rPr>
          <w:rFonts w:eastAsia="Times New Roman"/>
        </w:rPr>
        <w:t>: Types of overflows</w:t>
      </w:r>
      <w:bookmarkEnd w:id="40"/>
    </w:p>
    <w:p w14:paraId="7AE56835" w14:textId="6596AEE1" w:rsidR="006802F9" w:rsidRDefault="006802F9" w:rsidP="007B7A6C">
      <w:pPr>
        <w:pStyle w:val="Heading2"/>
        <w:rPr>
          <w:rFonts w:eastAsia="Times New Roman"/>
        </w:rPr>
      </w:pPr>
      <w:bookmarkStart w:id="41" w:name="_Toc178862642"/>
      <w:r>
        <w:rPr>
          <w:rFonts w:eastAsia="Times New Roman"/>
        </w:rPr>
        <w:t>A1.</w:t>
      </w:r>
      <w:r w:rsidR="00A070F0">
        <w:rPr>
          <w:rFonts w:eastAsia="Times New Roman"/>
        </w:rPr>
        <w:t>1</w:t>
      </w:r>
      <w:r>
        <w:rPr>
          <w:rFonts w:eastAsia="Times New Roman"/>
        </w:rPr>
        <w:t xml:space="preserve"> </w:t>
      </w:r>
      <w:r w:rsidR="00F76285">
        <w:rPr>
          <w:rFonts w:eastAsia="Times New Roman"/>
        </w:rPr>
        <w:tab/>
      </w:r>
      <w:r>
        <w:rPr>
          <w:rFonts w:eastAsia="Times New Roman"/>
        </w:rPr>
        <w:t>Combined sewer overflows (CSOs)</w:t>
      </w:r>
      <w:bookmarkEnd w:id="41"/>
    </w:p>
    <w:p w14:paraId="033F69F1" w14:textId="78318E58" w:rsidR="006802F9" w:rsidRDefault="006802F9" w:rsidP="007B7A6C">
      <w:pPr>
        <w:pStyle w:val="BodyText1"/>
      </w:pPr>
      <w:r w:rsidRPr="003B0C26">
        <w:t xml:space="preserve">CSOs are a feature of most existing sewerage systems where surface water i.e. rainwater from roofs, yards and roads and foul (sewage &amp; trade) effluent flows are combined in one single pipe. With increasing rainfall, the combined sewer reaches its hydraulic </w:t>
      </w:r>
      <w:proofErr w:type="gramStart"/>
      <w:r w:rsidRPr="003B0C26">
        <w:t>capacity</w:t>
      </w:r>
      <w:proofErr w:type="gramEnd"/>
      <w:r w:rsidRPr="003B0C26">
        <w:t xml:space="preserve"> and a release mechanism is required in order to prevent flooding or inundation of areas (including domestic property and commercial premises) with dilute sewage. CSOs should operate intermittently and only in response to rainfall and/or flooding events. They may discharge to inland, coastal or transitional (i.e. estuarine) waters.</w:t>
      </w:r>
    </w:p>
    <w:p w14:paraId="32D005B0" w14:textId="77777777" w:rsidR="006802F9" w:rsidRDefault="006802F9" w:rsidP="007B7A6C">
      <w:pPr>
        <w:pStyle w:val="BodyText1"/>
      </w:pPr>
      <w:r w:rsidRPr="003B0C26">
        <w:t>When rainfall occurs in an area, the rain runs off from permeable surfaces, i.e. grassland and natural ground, more slowly than from impermeable or developed areas such as roofs, roads and pavements. As a consequence, flows in the combined sewer increase more rapidly than in the receiving watercourse. It is therefore necessary to retain these initial storm flows in the sewer until the watercourse flow has increased sufficiently to cope with a discharge of dilute sewage when the CSO overflows. Retention is provided by</w:t>
      </w:r>
      <w:r>
        <w:t>:</w:t>
      </w:r>
      <w:r w:rsidRPr="003B0C26">
        <w:t xml:space="preserve"> </w:t>
      </w:r>
    </w:p>
    <w:p w14:paraId="695D8E8F" w14:textId="77777777" w:rsidR="005343B2" w:rsidRDefault="006802F9" w:rsidP="00542F79">
      <w:pPr>
        <w:pStyle w:val="BodyText1"/>
        <w:numPr>
          <w:ilvl w:val="0"/>
          <w:numId w:val="18"/>
        </w:numPr>
      </w:pPr>
      <w:r w:rsidRPr="003B0C26">
        <w:t>the sewers downstream of CSOs being adequately sized</w:t>
      </w:r>
      <w:r>
        <w:t>;</w:t>
      </w:r>
      <w:r w:rsidRPr="003B0C26">
        <w:t xml:space="preserve"> or </w:t>
      </w:r>
    </w:p>
    <w:p w14:paraId="7D756D85" w14:textId="0784285B" w:rsidR="006802F9" w:rsidRDefault="006802F9" w:rsidP="00542F79">
      <w:pPr>
        <w:pStyle w:val="BodyText1"/>
        <w:numPr>
          <w:ilvl w:val="0"/>
          <w:numId w:val="18"/>
        </w:numPr>
      </w:pPr>
      <w:r w:rsidRPr="003B0C26">
        <w:t>by the provision of storage capacity in the CSO chamber, upstream sewer or in storm settlement tanks at the sewage treatment works or in the sewer network.</w:t>
      </w:r>
    </w:p>
    <w:p w14:paraId="5C3CABE9" w14:textId="2A12CB05" w:rsidR="006802F9" w:rsidRDefault="006802F9" w:rsidP="00E77E18">
      <w:pPr>
        <w:pStyle w:val="BodyText1"/>
      </w:pPr>
      <w:r w:rsidRPr="003B0C26">
        <w:lastRenderedPageBreak/>
        <w:t>By reducing surface water and groundwater inflows to sewers, the need for new CSOs can be kept to the absolute minimum</w:t>
      </w:r>
      <w:r w:rsidR="005E205B">
        <w:t>.</w:t>
      </w:r>
    </w:p>
    <w:p w14:paraId="1E9BF4F2" w14:textId="24D08813" w:rsidR="006802F9" w:rsidRDefault="008D38C0" w:rsidP="007B7A6C">
      <w:pPr>
        <w:pStyle w:val="Heading2"/>
        <w:rPr>
          <w:rFonts w:eastAsia="Times New Roman"/>
        </w:rPr>
      </w:pPr>
      <w:bookmarkStart w:id="42" w:name="_Toc178862643"/>
      <w:r>
        <w:rPr>
          <w:rFonts w:eastAsia="Times New Roman"/>
        </w:rPr>
        <w:t>A</w:t>
      </w:r>
      <w:r w:rsidR="00A070F0">
        <w:rPr>
          <w:rFonts w:eastAsia="Times New Roman"/>
        </w:rPr>
        <w:t>1.2</w:t>
      </w:r>
      <w:r w:rsidR="006802F9">
        <w:rPr>
          <w:rFonts w:eastAsia="Times New Roman"/>
        </w:rPr>
        <w:t xml:space="preserve"> </w:t>
      </w:r>
      <w:r w:rsidR="006802F9">
        <w:rPr>
          <w:rFonts w:eastAsia="Times New Roman"/>
        </w:rPr>
        <w:tab/>
        <w:t>Storm tanks</w:t>
      </w:r>
      <w:bookmarkEnd w:id="42"/>
    </w:p>
    <w:p w14:paraId="78C715C1" w14:textId="7AB547B9" w:rsidR="006802F9" w:rsidRDefault="006802F9" w:rsidP="007B7A6C">
      <w:pPr>
        <w:pStyle w:val="BodyText1"/>
      </w:pPr>
      <w:r w:rsidRPr="005946BD">
        <w:t>Storm tanks at inland sewage treatment works are normally required to deal primarily with the polluting "first flush" of storm sewage at a time when flows in the receiving watercourse will not have responded to rainfall as quickly as the impermeable areas served by the combined sewer.</w:t>
      </w:r>
    </w:p>
    <w:p w14:paraId="2C03EFFC" w14:textId="24040726" w:rsidR="006802F9" w:rsidRDefault="006802F9" w:rsidP="007B7A6C">
      <w:pPr>
        <w:pStyle w:val="BodyText1"/>
      </w:pPr>
      <w:r w:rsidRPr="005946BD">
        <w:t>In coastal and transitional waters, some form of storm water retention system may also be required to deal with these "first flush" scenarios, especially where the microbiological quality of receiving waters is an issue.</w:t>
      </w:r>
    </w:p>
    <w:p w14:paraId="45764D3C" w14:textId="5A9886EE" w:rsidR="006802F9" w:rsidRDefault="006802F9" w:rsidP="00E77E18">
      <w:pPr>
        <w:pStyle w:val="BodyText1"/>
      </w:pPr>
      <w:r w:rsidRPr="005946BD">
        <w:t>The sizing of storm water retention systems, if they are necessary (e.g. to reduce spill frequency from the sewer network), is normally based on sewer hydraulic modelling and modelling of the receiving waters.</w:t>
      </w:r>
    </w:p>
    <w:p w14:paraId="667DCDDD" w14:textId="4992EF88" w:rsidR="006802F9" w:rsidRDefault="008D38C0" w:rsidP="007B7A6C">
      <w:pPr>
        <w:pStyle w:val="Heading2"/>
        <w:rPr>
          <w:rFonts w:eastAsia="Times New Roman"/>
        </w:rPr>
      </w:pPr>
      <w:bookmarkStart w:id="43" w:name="_Toc178862644"/>
      <w:r>
        <w:rPr>
          <w:rFonts w:eastAsia="Times New Roman"/>
        </w:rPr>
        <w:t>A1.3</w:t>
      </w:r>
      <w:r w:rsidR="008108F4">
        <w:rPr>
          <w:rFonts w:eastAsia="Times New Roman"/>
        </w:rPr>
        <w:t xml:space="preserve"> </w:t>
      </w:r>
      <w:r w:rsidR="008108F4">
        <w:rPr>
          <w:rFonts w:eastAsia="Times New Roman"/>
        </w:rPr>
        <w:tab/>
      </w:r>
      <w:r w:rsidR="006802F9">
        <w:rPr>
          <w:rFonts w:eastAsia="Times New Roman"/>
        </w:rPr>
        <w:t>Emergency overflows</w:t>
      </w:r>
      <w:bookmarkEnd w:id="43"/>
    </w:p>
    <w:p w14:paraId="1A1565E7" w14:textId="5C210AFA" w:rsidR="006802F9" w:rsidRPr="005946BD" w:rsidRDefault="006802F9" w:rsidP="007B7A6C">
      <w:pPr>
        <w:pStyle w:val="BodyText1"/>
      </w:pPr>
      <w:r w:rsidRPr="005946BD">
        <w:t xml:space="preserve">Emergency Overflows (EOs) are designed to cater for mechanical and/or electrical failure, rising main failure or blockage in the downstream sewer. Such equipment may be </w:t>
      </w:r>
      <w:proofErr w:type="gramStart"/>
      <w:r w:rsidRPr="005946BD">
        <w:t>mechanically-raked</w:t>
      </w:r>
      <w:proofErr w:type="gramEnd"/>
      <w:r w:rsidRPr="005946BD">
        <w:t xml:space="preserve"> screens or pumps or flow control devices. EOs are not CSOs as they are not designed to operate in response to rainfall. They may be present on separate sewerage systems as well as combined sewerage systems.</w:t>
      </w:r>
    </w:p>
    <w:p w14:paraId="4F2FBDAF" w14:textId="1076339B" w:rsidR="00184281" w:rsidRPr="005946BD" w:rsidRDefault="006802F9" w:rsidP="001D3090">
      <w:pPr>
        <w:pStyle w:val="BodyText1"/>
      </w:pPr>
      <w:r w:rsidRPr="005946BD">
        <w:t>Emergency overflows of sewage, although they should be very infrequent, can have a more severe effect on watercourses than CSO discharges as there may be no dilution effect from any rainfall. The sewage discharge may be stronger and the flow in the watercourse may be low. For small, separately sewered catchments (i.e. where there are separate pipes for surface water and foul sewage)</w:t>
      </w:r>
      <w:r w:rsidR="00184281">
        <w:t>.</w:t>
      </w:r>
    </w:p>
    <w:p w14:paraId="613A4513" w14:textId="73DA547E" w:rsidR="00F32AEA" w:rsidRPr="007B7A6C" w:rsidRDefault="00831CA7" w:rsidP="007B7A6C">
      <w:pPr>
        <w:pStyle w:val="Heading1"/>
      </w:pPr>
      <w:bookmarkStart w:id="44" w:name="_Toc178862645"/>
      <w:r w:rsidRPr="007B7A6C">
        <w:t>Annex 2: Background to sewer network licences</w:t>
      </w:r>
      <w:bookmarkEnd w:id="44"/>
      <w:r w:rsidRPr="007B7A6C">
        <w:t xml:space="preserve"> </w:t>
      </w:r>
    </w:p>
    <w:p w14:paraId="1FB16B61" w14:textId="26849708" w:rsidR="00F32AEA" w:rsidRDefault="00F32AEA" w:rsidP="007B7A6C">
      <w:pPr>
        <w:pStyle w:val="BodyText1"/>
      </w:pPr>
      <w:r>
        <w:t>Network licences change the focus from managing individual overflows to managing whole sewer networks. This links SEPA’s approach to the output from drainage area studies undertaken by Scottish Water.</w:t>
      </w:r>
    </w:p>
    <w:p w14:paraId="74713D21" w14:textId="77777777" w:rsidR="00F32AEA" w:rsidRDefault="00F32AEA" w:rsidP="007B7A6C">
      <w:pPr>
        <w:pStyle w:val="BodyText1"/>
      </w:pPr>
      <w:r>
        <w:lastRenderedPageBreak/>
        <w:t>Network licences focus on the management of sewer networks, therefore providing the most effective means of controlling the risks of pollution. For example, they allow SEPA to inspect against and for Scottish Water to demonstrate their compliance in relation to the management conditions, within the SNL.</w:t>
      </w:r>
    </w:p>
    <w:p w14:paraId="234EE5CC" w14:textId="645848DF" w:rsidR="00F32AEA" w:rsidRDefault="00F32AEA" w:rsidP="007B7A6C">
      <w:pPr>
        <w:pStyle w:val="BodyText1"/>
      </w:pPr>
      <w:r>
        <w:t xml:space="preserve">Network licences allow SEPA to be more proactive in requiring flow data collection and specifying how sewers should be modelled. The Scottish Water investment process typically involves the development of drainage area studies which provide the basis upon which </w:t>
      </w:r>
      <w:proofErr w:type="gramStart"/>
      <w:r>
        <w:t>SEPA’s</w:t>
      </w:r>
      <w:proofErr w:type="gramEnd"/>
      <w:r>
        <w:t xml:space="preserve"> and Scottish Water’s understanding of networks is progressed.  The licensed sewer networks are based upon the network served by a particular STW. For networks with non-compliant or unsatisfactory assets, this may require agreed investment in an overall strategic solution and/or improvements at an individual asset – e.g. fitting of screens.</w:t>
      </w:r>
    </w:p>
    <w:p w14:paraId="09FD9325" w14:textId="77777777" w:rsidR="001D3090" w:rsidRDefault="001D3090" w:rsidP="64367E61">
      <w:pPr>
        <w:pStyle w:val="BodyText1"/>
        <w:rPr>
          <w:rFonts w:eastAsia="Times New Roman"/>
          <w:sz w:val="32"/>
          <w:szCs w:val="32"/>
        </w:rPr>
      </w:pPr>
    </w:p>
    <w:p w14:paraId="3C478563" w14:textId="77777777" w:rsidR="001D3090" w:rsidRDefault="001D3090" w:rsidP="64367E61">
      <w:pPr>
        <w:pStyle w:val="BodyText1"/>
        <w:rPr>
          <w:rFonts w:eastAsia="Times New Roman"/>
          <w:sz w:val="32"/>
          <w:szCs w:val="32"/>
        </w:rPr>
      </w:pPr>
    </w:p>
    <w:p w14:paraId="666FA099" w14:textId="77777777" w:rsidR="00E77E18" w:rsidRDefault="00E77E18" w:rsidP="64367E61">
      <w:pPr>
        <w:pStyle w:val="BodyText1"/>
        <w:rPr>
          <w:rFonts w:eastAsia="Times New Roman"/>
          <w:sz w:val="32"/>
          <w:szCs w:val="32"/>
        </w:rPr>
      </w:pPr>
    </w:p>
    <w:p w14:paraId="02029704" w14:textId="77777777" w:rsidR="00E77E18" w:rsidRDefault="00E77E18" w:rsidP="64367E61">
      <w:pPr>
        <w:pStyle w:val="BodyText1"/>
        <w:rPr>
          <w:rFonts w:eastAsia="Times New Roman"/>
          <w:sz w:val="32"/>
          <w:szCs w:val="32"/>
        </w:rPr>
      </w:pPr>
    </w:p>
    <w:p w14:paraId="43B196CC" w14:textId="77777777" w:rsidR="004F0541" w:rsidRDefault="004F0541" w:rsidP="64367E61">
      <w:pPr>
        <w:pStyle w:val="BodyText1"/>
        <w:rPr>
          <w:rFonts w:eastAsia="Times New Roman"/>
          <w:sz w:val="32"/>
          <w:szCs w:val="32"/>
        </w:rPr>
      </w:pPr>
    </w:p>
    <w:p w14:paraId="1808C0D3" w14:textId="77777777" w:rsidR="004F0541" w:rsidRDefault="004F0541" w:rsidP="64367E61">
      <w:pPr>
        <w:pStyle w:val="BodyText1"/>
        <w:rPr>
          <w:rFonts w:eastAsia="Times New Roman"/>
          <w:sz w:val="32"/>
          <w:szCs w:val="32"/>
        </w:rPr>
      </w:pPr>
    </w:p>
    <w:p w14:paraId="2246F58D" w14:textId="77777777" w:rsidR="004F0541" w:rsidRDefault="004F0541" w:rsidP="64367E61">
      <w:pPr>
        <w:pStyle w:val="BodyText1"/>
        <w:rPr>
          <w:rFonts w:eastAsia="Times New Roman"/>
          <w:sz w:val="32"/>
          <w:szCs w:val="32"/>
        </w:rPr>
      </w:pPr>
    </w:p>
    <w:p w14:paraId="169D41E1" w14:textId="77777777" w:rsidR="004F0541" w:rsidRDefault="004F0541" w:rsidP="64367E61">
      <w:pPr>
        <w:pStyle w:val="BodyText1"/>
        <w:rPr>
          <w:rFonts w:eastAsia="Times New Roman"/>
          <w:sz w:val="32"/>
          <w:szCs w:val="32"/>
        </w:rPr>
      </w:pPr>
    </w:p>
    <w:p w14:paraId="62E56C65" w14:textId="6DF9C95C" w:rsidR="006243FF" w:rsidRPr="001D3090" w:rsidRDefault="00E326A4" w:rsidP="64367E61">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28"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sectPr w:rsidR="006243FF" w:rsidRPr="001D3090" w:rsidSect="006A6137">
      <w:headerReference w:type="even" r:id="rId29"/>
      <w:headerReference w:type="default" r:id="rId30"/>
      <w:footerReference w:type="even" r:id="rId31"/>
      <w:footerReference w:type="default" r:id="rId32"/>
      <w:headerReference w:type="first" r:id="rId33"/>
      <w:footerReference w:type="first" r:id="rId3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F0BFD" w14:textId="77777777" w:rsidR="00177FCB" w:rsidRDefault="00177FCB" w:rsidP="00660C79">
      <w:pPr>
        <w:spacing w:line="240" w:lineRule="auto"/>
      </w:pPr>
      <w:r>
        <w:separator/>
      </w:r>
    </w:p>
  </w:endnote>
  <w:endnote w:type="continuationSeparator" w:id="0">
    <w:p w14:paraId="6EA9E713" w14:textId="77777777" w:rsidR="00177FCB" w:rsidRDefault="00177FCB" w:rsidP="00660C79">
      <w:pPr>
        <w:spacing w:line="240" w:lineRule="auto"/>
      </w:pPr>
      <w:r>
        <w:continuationSeparator/>
      </w:r>
    </w:p>
  </w:endnote>
  <w:endnote w:type="continuationNotice" w:id="1">
    <w:p w14:paraId="759E15B1" w14:textId="77777777" w:rsidR="00177FCB" w:rsidRDefault="00177FC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C33FC"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15447116" wp14:editId="7DB30665">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39CC8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47116"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B39CC8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278350D2"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73C04EF2"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17EC5"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17A15" w14:textId="77777777" w:rsidR="00EC6A73" w:rsidRDefault="00751749" w:rsidP="00917BB1">
    <w:pPr>
      <w:pStyle w:val="Footer"/>
      <w:ind w:right="360"/>
    </w:pPr>
    <w:r>
      <w:rPr>
        <w:noProof/>
      </w:rPr>
      <mc:AlternateContent>
        <mc:Choice Requires="wps">
          <w:drawing>
            <wp:anchor distT="0" distB="0" distL="0" distR="0" simplePos="0" relativeHeight="251658247" behindDoc="0" locked="0" layoutInCell="1" allowOverlap="1" wp14:anchorId="580953BD" wp14:editId="78DE6E05">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9963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953BD"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2A9963B4"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p w14:paraId="303527F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082FB965" wp14:editId="29E809AC">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304679"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024AC1E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FDF4AB" w14:textId="77777777" w:rsidR="00917BB1" w:rsidRDefault="00917BB1" w:rsidP="00917BB1">
    <w:pPr>
      <w:pStyle w:val="Footer"/>
      <w:ind w:right="360"/>
    </w:pPr>
    <w:r>
      <w:rPr>
        <w:noProof/>
      </w:rPr>
      <w:drawing>
        <wp:inline distT="0" distB="0" distL="0" distR="0" wp14:anchorId="45C7C4E1" wp14:editId="1BD8CAD3">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23289" w14:textId="77777777" w:rsidR="00751749" w:rsidRDefault="00751749">
    <w:pPr>
      <w:pStyle w:val="Footer"/>
    </w:pPr>
    <w:r>
      <w:rPr>
        <w:noProof/>
      </w:rPr>
      <mc:AlternateContent>
        <mc:Choice Requires="wps">
          <w:drawing>
            <wp:anchor distT="0" distB="0" distL="0" distR="0" simplePos="0" relativeHeight="251658245" behindDoc="0" locked="0" layoutInCell="1" allowOverlap="1" wp14:anchorId="6B9EA5AF" wp14:editId="40470C5B">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99EDA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EA5AF"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499EDA6"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75CA7" w14:textId="77777777" w:rsidR="00177FCB" w:rsidRDefault="00177FCB" w:rsidP="00660C79">
      <w:pPr>
        <w:spacing w:line="240" w:lineRule="auto"/>
      </w:pPr>
      <w:r>
        <w:separator/>
      </w:r>
    </w:p>
  </w:footnote>
  <w:footnote w:type="continuationSeparator" w:id="0">
    <w:p w14:paraId="5D847803" w14:textId="77777777" w:rsidR="00177FCB" w:rsidRDefault="00177FCB" w:rsidP="00660C79">
      <w:pPr>
        <w:spacing w:line="240" w:lineRule="auto"/>
      </w:pPr>
      <w:r>
        <w:continuationSeparator/>
      </w:r>
    </w:p>
  </w:footnote>
  <w:footnote w:type="continuationNotice" w:id="1">
    <w:p w14:paraId="2C1AB6C9" w14:textId="77777777" w:rsidR="00177FCB" w:rsidRDefault="00177FC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BCB5F"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61CC2392" wp14:editId="6F7D7D7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19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CC2392"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04195FC"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0B3B7" w14:textId="71D50287" w:rsidR="008D113C" w:rsidRPr="00917BB1" w:rsidRDefault="00751749"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3C44225D" wp14:editId="1CE730A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91A6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44225D"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5691A6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r w:rsidR="00BC0151">
      <w:rPr>
        <w:color w:val="6E7571" w:themeColor="text2"/>
      </w:rPr>
      <w:t>WAT-RM-07</w:t>
    </w:r>
  </w:p>
  <w:p w14:paraId="76FB30C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C42AC4B" wp14:editId="54D89E79">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BD391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1E3D"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66E9C762" wp14:editId="3192E66D">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3A6F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E9C762"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C3A6F93"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45B"/>
    <w:multiLevelType w:val="hybridMultilevel"/>
    <w:tmpl w:val="4524E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B50B9"/>
    <w:multiLevelType w:val="hybridMultilevel"/>
    <w:tmpl w:val="12828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06A16"/>
    <w:multiLevelType w:val="hybridMultilevel"/>
    <w:tmpl w:val="428A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C5AB6"/>
    <w:multiLevelType w:val="hybridMultilevel"/>
    <w:tmpl w:val="5CE8C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76252"/>
    <w:multiLevelType w:val="hybridMultilevel"/>
    <w:tmpl w:val="6F7A3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44338F"/>
    <w:multiLevelType w:val="hybridMultilevel"/>
    <w:tmpl w:val="5ED8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76252"/>
    <w:multiLevelType w:val="hybridMultilevel"/>
    <w:tmpl w:val="74AEA69C"/>
    <w:lvl w:ilvl="0" w:tplc="08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C3D75EA"/>
    <w:multiLevelType w:val="hybridMultilevel"/>
    <w:tmpl w:val="D35E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21A4F"/>
    <w:multiLevelType w:val="hybridMultilevel"/>
    <w:tmpl w:val="F652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1258D"/>
    <w:multiLevelType w:val="multilevel"/>
    <w:tmpl w:val="11F68C5A"/>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5E575BF"/>
    <w:multiLevelType w:val="hybridMultilevel"/>
    <w:tmpl w:val="E182C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8D187E"/>
    <w:multiLevelType w:val="hybridMultilevel"/>
    <w:tmpl w:val="98D2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1428F2"/>
    <w:multiLevelType w:val="hybridMultilevel"/>
    <w:tmpl w:val="1786D9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19645B"/>
    <w:multiLevelType w:val="hybridMultilevel"/>
    <w:tmpl w:val="8806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23DF5"/>
    <w:multiLevelType w:val="hybridMultilevel"/>
    <w:tmpl w:val="3C9A5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3065D2"/>
    <w:multiLevelType w:val="hybridMultilevel"/>
    <w:tmpl w:val="E550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87DF6"/>
    <w:multiLevelType w:val="hybridMultilevel"/>
    <w:tmpl w:val="44A01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367D4B"/>
    <w:multiLevelType w:val="hybridMultilevel"/>
    <w:tmpl w:val="D27EC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CF69D3"/>
    <w:multiLevelType w:val="hybridMultilevel"/>
    <w:tmpl w:val="859C176C"/>
    <w:lvl w:ilvl="0" w:tplc="08090001">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2291"/>
        </w:tabs>
        <w:ind w:left="2291" w:hanging="360"/>
      </w:pPr>
      <w:rPr>
        <w:rFonts w:ascii="Courier New" w:hAnsi="Courier New" w:cs="Courier New"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3C2A5E1A"/>
    <w:multiLevelType w:val="hybridMultilevel"/>
    <w:tmpl w:val="9152A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9C511F"/>
    <w:multiLevelType w:val="hybridMultilevel"/>
    <w:tmpl w:val="B0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E67321"/>
    <w:multiLevelType w:val="hybridMultilevel"/>
    <w:tmpl w:val="37C28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6778B"/>
    <w:multiLevelType w:val="hybridMultilevel"/>
    <w:tmpl w:val="BAA86C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7806B2"/>
    <w:multiLevelType w:val="hybridMultilevel"/>
    <w:tmpl w:val="F0E2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7B0A42"/>
    <w:multiLevelType w:val="hybridMultilevel"/>
    <w:tmpl w:val="ED4AB3CC"/>
    <w:lvl w:ilvl="0" w:tplc="5072785A">
      <w:start w:val="1"/>
      <w:numFmt w:val="bullet"/>
      <w:pStyle w:val="ListBullet"/>
      <w:lvlText w:val=""/>
      <w:lvlJc w:val="left"/>
      <w:pPr>
        <w:tabs>
          <w:tab w:val="num" w:pos="900"/>
        </w:tabs>
        <w:ind w:left="900" w:hanging="360"/>
      </w:pPr>
      <w:rPr>
        <w:rFonts w:ascii="Wingdings" w:hAnsi="Wingdings"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67E6784"/>
    <w:multiLevelType w:val="hybridMultilevel"/>
    <w:tmpl w:val="0582B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166DD8"/>
    <w:multiLevelType w:val="hybridMultilevel"/>
    <w:tmpl w:val="9E7A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91867"/>
    <w:multiLevelType w:val="hybridMultilevel"/>
    <w:tmpl w:val="C1B25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0F187F"/>
    <w:multiLevelType w:val="hybridMultilevel"/>
    <w:tmpl w:val="3FBEB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015459"/>
    <w:multiLevelType w:val="hybridMultilevel"/>
    <w:tmpl w:val="3FC4A6C4"/>
    <w:lvl w:ilvl="0" w:tplc="9FFAD1B6">
      <w:start w:val="1"/>
      <w:numFmt w:val="bullet"/>
      <w:pStyle w:val="Table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73C774AB"/>
    <w:multiLevelType w:val="hybridMultilevel"/>
    <w:tmpl w:val="10A4B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197EF6"/>
    <w:multiLevelType w:val="hybridMultilevel"/>
    <w:tmpl w:val="EDF8E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8F7A4F"/>
    <w:multiLevelType w:val="hybridMultilevel"/>
    <w:tmpl w:val="D4BE1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7D1459"/>
    <w:multiLevelType w:val="hybridMultilevel"/>
    <w:tmpl w:val="9378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48648E"/>
    <w:multiLevelType w:val="hybridMultilevel"/>
    <w:tmpl w:val="E2B84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EC0092"/>
    <w:multiLevelType w:val="hybridMultilevel"/>
    <w:tmpl w:val="0666F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745591">
    <w:abstractNumId w:val="9"/>
  </w:num>
  <w:num w:numId="2" w16cid:durableId="1190146405">
    <w:abstractNumId w:val="24"/>
  </w:num>
  <w:num w:numId="3" w16cid:durableId="1844468946">
    <w:abstractNumId w:val="29"/>
  </w:num>
  <w:num w:numId="4" w16cid:durableId="394856990">
    <w:abstractNumId w:val="18"/>
  </w:num>
  <w:num w:numId="5" w16cid:durableId="149251062">
    <w:abstractNumId w:val="12"/>
  </w:num>
  <w:num w:numId="6" w16cid:durableId="311836468">
    <w:abstractNumId w:val="31"/>
  </w:num>
  <w:num w:numId="7" w16cid:durableId="1531333141">
    <w:abstractNumId w:val="25"/>
  </w:num>
  <w:num w:numId="8" w16cid:durableId="1114323631">
    <w:abstractNumId w:val="2"/>
  </w:num>
  <w:num w:numId="9" w16cid:durableId="578948109">
    <w:abstractNumId w:val="32"/>
  </w:num>
  <w:num w:numId="10" w16cid:durableId="1745420341">
    <w:abstractNumId w:val="10"/>
  </w:num>
  <w:num w:numId="11" w16cid:durableId="1926917335">
    <w:abstractNumId w:val="15"/>
  </w:num>
  <w:num w:numId="12" w16cid:durableId="2081442807">
    <w:abstractNumId w:val="5"/>
  </w:num>
  <w:num w:numId="13" w16cid:durableId="893468869">
    <w:abstractNumId w:val="1"/>
  </w:num>
  <w:num w:numId="14" w16cid:durableId="344481197">
    <w:abstractNumId w:val="35"/>
  </w:num>
  <w:num w:numId="15" w16cid:durableId="1621641131">
    <w:abstractNumId w:val="14"/>
  </w:num>
  <w:num w:numId="16" w16cid:durableId="1945841799">
    <w:abstractNumId w:val="26"/>
  </w:num>
  <w:num w:numId="17" w16cid:durableId="314993415">
    <w:abstractNumId w:val="13"/>
  </w:num>
  <w:num w:numId="18" w16cid:durableId="929779898">
    <w:abstractNumId w:val="16"/>
  </w:num>
  <w:num w:numId="19" w16cid:durableId="53045016">
    <w:abstractNumId w:val="21"/>
  </w:num>
  <w:num w:numId="20" w16cid:durableId="131362721">
    <w:abstractNumId w:val="20"/>
  </w:num>
  <w:num w:numId="21" w16cid:durableId="2006544772">
    <w:abstractNumId w:val="17"/>
  </w:num>
  <w:num w:numId="22" w16cid:durableId="1053188619">
    <w:abstractNumId w:val="4"/>
  </w:num>
  <w:num w:numId="23" w16cid:durableId="1424258769">
    <w:abstractNumId w:val="30"/>
  </w:num>
  <w:num w:numId="24" w16cid:durableId="180315980">
    <w:abstractNumId w:val="11"/>
  </w:num>
  <w:num w:numId="25" w16cid:durableId="1688167597">
    <w:abstractNumId w:val="34"/>
  </w:num>
  <w:num w:numId="26" w16cid:durableId="1191066067">
    <w:abstractNumId w:val="3"/>
  </w:num>
  <w:num w:numId="27" w16cid:durableId="440878560">
    <w:abstractNumId w:val="27"/>
  </w:num>
  <w:num w:numId="28" w16cid:durableId="519196419">
    <w:abstractNumId w:val="33"/>
  </w:num>
  <w:num w:numId="29" w16cid:durableId="1114596693">
    <w:abstractNumId w:val="22"/>
  </w:num>
  <w:num w:numId="30" w16cid:durableId="724912881">
    <w:abstractNumId w:val="19"/>
  </w:num>
  <w:num w:numId="31" w16cid:durableId="44453028">
    <w:abstractNumId w:val="0"/>
  </w:num>
  <w:num w:numId="32" w16cid:durableId="944116728">
    <w:abstractNumId w:val="6"/>
  </w:num>
  <w:num w:numId="33" w16cid:durableId="633947254">
    <w:abstractNumId w:val="7"/>
  </w:num>
  <w:num w:numId="34" w16cid:durableId="286006307">
    <w:abstractNumId w:val="8"/>
  </w:num>
  <w:num w:numId="35" w16cid:durableId="2037928570">
    <w:abstractNumId w:val="23"/>
  </w:num>
  <w:num w:numId="36" w16cid:durableId="1612395042">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580"/>
    <w:rsid w:val="00003E29"/>
    <w:rsid w:val="00010CBE"/>
    <w:rsid w:val="000137BD"/>
    <w:rsid w:val="00016170"/>
    <w:rsid w:val="000161DA"/>
    <w:rsid w:val="0001667E"/>
    <w:rsid w:val="000201D9"/>
    <w:rsid w:val="00021436"/>
    <w:rsid w:val="00022B7D"/>
    <w:rsid w:val="000248B9"/>
    <w:rsid w:val="00025B01"/>
    <w:rsid w:val="0003257F"/>
    <w:rsid w:val="00032585"/>
    <w:rsid w:val="00032829"/>
    <w:rsid w:val="00032A61"/>
    <w:rsid w:val="000370E5"/>
    <w:rsid w:val="00037ABF"/>
    <w:rsid w:val="00040561"/>
    <w:rsid w:val="00044537"/>
    <w:rsid w:val="000500CE"/>
    <w:rsid w:val="00052CD9"/>
    <w:rsid w:val="000532BA"/>
    <w:rsid w:val="00053F68"/>
    <w:rsid w:val="00055935"/>
    <w:rsid w:val="0005646B"/>
    <w:rsid w:val="00060DDC"/>
    <w:rsid w:val="00070937"/>
    <w:rsid w:val="00071F2F"/>
    <w:rsid w:val="0007375E"/>
    <w:rsid w:val="000778F5"/>
    <w:rsid w:val="00080BD9"/>
    <w:rsid w:val="00083C7B"/>
    <w:rsid w:val="000862B3"/>
    <w:rsid w:val="0008754D"/>
    <w:rsid w:val="00090231"/>
    <w:rsid w:val="00091AC6"/>
    <w:rsid w:val="0009513A"/>
    <w:rsid w:val="000A0793"/>
    <w:rsid w:val="000A32CC"/>
    <w:rsid w:val="000A4AEB"/>
    <w:rsid w:val="000A7840"/>
    <w:rsid w:val="000B251C"/>
    <w:rsid w:val="000B2C81"/>
    <w:rsid w:val="000B32FB"/>
    <w:rsid w:val="000B550F"/>
    <w:rsid w:val="000B577C"/>
    <w:rsid w:val="000B6AB4"/>
    <w:rsid w:val="000B7559"/>
    <w:rsid w:val="000B79C2"/>
    <w:rsid w:val="000C06EB"/>
    <w:rsid w:val="000C1B83"/>
    <w:rsid w:val="000C5ED8"/>
    <w:rsid w:val="000C7008"/>
    <w:rsid w:val="000D02AF"/>
    <w:rsid w:val="000D14C4"/>
    <w:rsid w:val="000D2157"/>
    <w:rsid w:val="000D51A7"/>
    <w:rsid w:val="000D5D2B"/>
    <w:rsid w:val="000E03CC"/>
    <w:rsid w:val="000E0D15"/>
    <w:rsid w:val="000E11F7"/>
    <w:rsid w:val="000E1255"/>
    <w:rsid w:val="000E1967"/>
    <w:rsid w:val="000E1B75"/>
    <w:rsid w:val="000E7680"/>
    <w:rsid w:val="000F194B"/>
    <w:rsid w:val="000F38A7"/>
    <w:rsid w:val="000F4205"/>
    <w:rsid w:val="000F7094"/>
    <w:rsid w:val="00100057"/>
    <w:rsid w:val="001007F2"/>
    <w:rsid w:val="00105F31"/>
    <w:rsid w:val="0011327E"/>
    <w:rsid w:val="00115FF6"/>
    <w:rsid w:val="001231B6"/>
    <w:rsid w:val="00124BF8"/>
    <w:rsid w:val="00132745"/>
    <w:rsid w:val="001404D3"/>
    <w:rsid w:val="00150009"/>
    <w:rsid w:val="0015025D"/>
    <w:rsid w:val="00151A12"/>
    <w:rsid w:val="00155A18"/>
    <w:rsid w:val="00156DA9"/>
    <w:rsid w:val="0016360F"/>
    <w:rsid w:val="00164540"/>
    <w:rsid w:val="001650C8"/>
    <w:rsid w:val="00166BD6"/>
    <w:rsid w:val="00167332"/>
    <w:rsid w:val="0017176D"/>
    <w:rsid w:val="00172331"/>
    <w:rsid w:val="0017338C"/>
    <w:rsid w:val="00173D57"/>
    <w:rsid w:val="00173F54"/>
    <w:rsid w:val="00174A84"/>
    <w:rsid w:val="00177FCB"/>
    <w:rsid w:val="001800E5"/>
    <w:rsid w:val="00180998"/>
    <w:rsid w:val="00180E42"/>
    <w:rsid w:val="00181B8A"/>
    <w:rsid w:val="00184281"/>
    <w:rsid w:val="00190CBF"/>
    <w:rsid w:val="001911E6"/>
    <w:rsid w:val="00195F4B"/>
    <w:rsid w:val="0019687F"/>
    <w:rsid w:val="001A0624"/>
    <w:rsid w:val="001A3A63"/>
    <w:rsid w:val="001A4FAB"/>
    <w:rsid w:val="001A6DAB"/>
    <w:rsid w:val="001B17B7"/>
    <w:rsid w:val="001B4370"/>
    <w:rsid w:val="001B76CE"/>
    <w:rsid w:val="001C6A5B"/>
    <w:rsid w:val="001C75B7"/>
    <w:rsid w:val="001D3090"/>
    <w:rsid w:val="001D3F62"/>
    <w:rsid w:val="001E1621"/>
    <w:rsid w:val="001E19CE"/>
    <w:rsid w:val="001E4E9F"/>
    <w:rsid w:val="001F1151"/>
    <w:rsid w:val="001F48F5"/>
    <w:rsid w:val="001F49B1"/>
    <w:rsid w:val="001F5C45"/>
    <w:rsid w:val="002042E6"/>
    <w:rsid w:val="002043BF"/>
    <w:rsid w:val="002044A9"/>
    <w:rsid w:val="002050ED"/>
    <w:rsid w:val="00206706"/>
    <w:rsid w:val="00207DC4"/>
    <w:rsid w:val="00210797"/>
    <w:rsid w:val="0021127C"/>
    <w:rsid w:val="00211CB1"/>
    <w:rsid w:val="00214510"/>
    <w:rsid w:val="00217333"/>
    <w:rsid w:val="00222F30"/>
    <w:rsid w:val="002250B1"/>
    <w:rsid w:val="00227EEF"/>
    <w:rsid w:val="00232585"/>
    <w:rsid w:val="00232EB8"/>
    <w:rsid w:val="00233360"/>
    <w:rsid w:val="002362F6"/>
    <w:rsid w:val="00236552"/>
    <w:rsid w:val="0024151B"/>
    <w:rsid w:val="002430D8"/>
    <w:rsid w:val="00244E70"/>
    <w:rsid w:val="00246C6D"/>
    <w:rsid w:val="00253526"/>
    <w:rsid w:val="002634BA"/>
    <w:rsid w:val="00264C6A"/>
    <w:rsid w:val="00267049"/>
    <w:rsid w:val="002676F6"/>
    <w:rsid w:val="002677A3"/>
    <w:rsid w:val="00271F4C"/>
    <w:rsid w:val="00272314"/>
    <w:rsid w:val="0027553D"/>
    <w:rsid w:val="00275FF8"/>
    <w:rsid w:val="0027713F"/>
    <w:rsid w:val="00281BB1"/>
    <w:rsid w:val="00286893"/>
    <w:rsid w:val="00290B1F"/>
    <w:rsid w:val="002950EE"/>
    <w:rsid w:val="00296CD7"/>
    <w:rsid w:val="002A360F"/>
    <w:rsid w:val="002A41E3"/>
    <w:rsid w:val="002A76ED"/>
    <w:rsid w:val="002B08D6"/>
    <w:rsid w:val="002B154B"/>
    <w:rsid w:val="002B1D23"/>
    <w:rsid w:val="002B2CE7"/>
    <w:rsid w:val="002C0EB2"/>
    <w:rsid w:val="002C2B75"/>
    <w:rsid w:val="002C5DE7"/>
    <w:rsid w:val="002C6330"/>
    <w:rsid w:val="002D13AF"/>
    <w:rsid w:val="002D1CE8"/>
    <w:rsid w:val="002D6FB2"/>
    <w:rsid w:val="002E0C3C"/>
    <w:rsid w:val="002E4B28"/>
    <w:rsid w:val="002E5E78"/>
    <w:rsid w:val="002E72CB"/>
    <w:rsid w:val="002F07CC"/>
    <w:rsid w:val="002F35B1"/>
    <w:rsid w:val="002F383B"/>
    <w:rsid w:val="002F5E22"/>
    <w:rsid w:val="002F6FC1"/>
    <w:rsid w:val="0030096D"/>
    <w:rsid w:val="00300B2A"/>
    <w:rsid w:val="00301517"/>
    <w:rsid w:val="00302300"/>
    <w:rsid w:val="0031651E"/>
    <w:rsid w:val="00317407"/>
    <w:rsid w:val="00317618"/>
    <w:rsid w:val="00320B86"/>
    <w:rsid w:val="0032578F"/>
    <w:rsid w:val="003312ED"/>
    <w:rsid w:val="00332457"/>
    <w:rsid w:val="003364BA"/>
    <w:rsid w:val="0034613C"/>
    <w:rsid w:val="00347610"/>
    <w:rsid w:val="00353872"/>
    <w:rsid w:val="00354532"/>
    <w:rsid w:val="003627A6"/>
    <w:rsid w:val="003636A6"/>
    <w:rsid w:val="00380052"/>
    <w:rsid w:val="00382145"/>
    <w:rsid w:val="003832BB"/>
    <w:rsid w:val="003842AA"/>
    <w:rsid w:val="003843D5"/>
    <w:rsid w:val="00391313"/>
    <w:rsid w:val="00391B1D"/>
    <w:rsid w:val="003942BF"/>
    <w:rsid w:val="00394726"/>
    <w:rsid w:val="00396049"/>
    <w:rsid w:val="003A197E"/>
    <w:rsid w:val="003A4294"/>
    <w:rsid w:val="003A4455"/>
    <w:rsid w:val="003A69EB"/>
    <w:rsid w:val="003B0C26"/>
    <w:rsid w:val="003B186D"/>
    <w:rsid w:val="003B244A"/>
    <w:rsid w:val="003B3278"/>
    <w:rsid w:val="003C4F3B"/>
    <w:rsid w:val="003C534F"/>
    <w:rsid w:val="003C7F9B"/>
    <w:rsid w:val="003D3AE2"/>
    <w:rsid w:val="003E19A7"/>
    <w:rsid w:val="003E5032"/>
    <w:rsid w:val="003F064C"/>
    <w:rsid w:val="003F104C"/>
    <w:rsid w:val="003F3B4E"/>
    <w:rsid w:val="003F44F5"/>
    <w:rsid w:val="003F485D"/>
    <w:rsid w:val="003F5384"/>
    <w:rsid w:val="003F625A"/>
    <w:rsid w:val="003F630D"/>
    <w:rsid w:val="0040149F"/>
    <w:rsid w:val="004073BC"/>
    <w:rsid w:val="00411437"/>
    <w:rsid w:val="004133B7"/>
    <w:rsid w:val="004143BF"/>
    <w:rsid w:val="00414E03"/>
    <w:rsid w:val="00416E9F"/>
    <w:rsid w:val="00422F27"/>
    <w:rsid w:val="00431189"/>
    <w:rsid w:val="00433BAE"/>
    <w:rsid w:val="004374C7"/>
    <w:rsid w:val="00442656"/>
    <w:rsid w:val="004444AC"/>
    <w:rsid w:val="00444AA1"/>
    <w:rsid w:val="004473F5"/>
    <w:rsid w:val="00454075"/>
    <w:rsid w:val="00454B66"/>
    <w:rsid w:val="00455CF0"/>
    <w:rsid w:val="00462D8E"/>
    <w:rsid w:val="00465823"/>
    <w:rsid w:val="00476BF6"/>
    <w:rsid w:val="00480DDA"/>
    <w:rsid w:val="00482FBA"/>
    <w:rsid w:val="00484043"/>
    <w:rsid w:val="00484E42"/>
    <w:rsid w:val="00484F35"/>
    <w:rsid w:val="0048598C"/>
    <w:rsid w:val="00486119"/>
    <w:rsid w:val="00492446"/>
    <w:rsid w:val="00492869"/>
    <w:rsid w:val="00493357"/>
    <w:rsid w:val="00496164"/>
    <w:rsid w:val="0049622A"/>
    <w:rsid w:val="004977FB"/>
    <w:rsid w:val="004A03E5"/>
    <w:rsid w:val="004A123F"/>
    <w:rsid w:val="004A2B39"/>
    <w:rsid w:val="004A3CE5"/>
    <w:rsid w:val="004A3E91"/>
    <w:rsid w:val="004A421E"/>
    <w:rsid w:val="004A4F63"/>
    <w:rsid w:val="004B79BB"/>
    <w:rsid w:val="004B7F35"/>
    <w:rsid w:val="004C314C"/>
    <w:rsid w:val="004C6544"/>
    <w:rsid w:val="004D0CD6"/>
    <w:rsid w:val="004D12B3"/>
    <w:rsid w:val="004D57DF"/>
    <w:rsid w:val="004E1575"/>
    <w:rsid w:val="004E1EC7"/>
    <w:rsid w:val="004E5997"/>
    <w:rsid w:val="004E6815"/>
    <w:rsid w:val="004E68A9"/>
    <w:rsid w:val="004F0541"/>
    <w:rsid w:val="004F1741"/>
    <w:rsid w:val="004F4476"/>
    <w:rsid w:val="004F54CF"/>
    <w:rsid w:val="005001C5"/>
    <w:rsid w:val="0051277A"/>
    <w:rsid w:val="00513DC5"/>
    <w:rsid w:val="00515D50"/>
    <w:rsid w:val="00525330"/>
    <w:rsid w:val="005254E1"/>
    <w:rsid w:val="00531EA9"/>
    <w:rsid w:val="00534366"/>
    <w:rsid w:val="005343B2"/>
    <w:rsid w:val="00534783"/>
    <w:rsid w:val="005377BC"/>
    <w:rsid w:val="00542F79"/>
    <w:rsid w:val="00545D63"/>
    <w:rsid w:val="00551989"/>
    <w:rsid w:val="005530C5"/>
    <w:rsid w:val="005553CA"/>
    <w:rsid w:val="005565F7"/>
    <w:rsid w:val="00560A42"/>
    <w:rsid w:val="00561045"/>
    <w:rsid w:val="00562AA0"/>
    <w:rsid w:val="00563EF2"/>
    <w:rsid w:val="00570221"/>
    <w:rsid w:val="00572893"/>
    <w:rsid w:val="00576D21"/>
    <w:rsid w:val="00587EA6"/>
    <w:rsid w:val="005921AF"/>
    <w:rsid w:val="005946BD"/>
    <w:rsid w:val="00595156"/>
    <w:rsid w:val="00596AC2"/>
    <w:rsid w:val="005A1443"/>
    <w:rsid w:val="005A3539"/>
    <w:rsid w:val="005A355E"/>
    <w:rsid w:val="005B1257"/>
    <w:rsid w:val="005B245F"/>
    <w:rsid w:val="005B5321"/>
    <w:rsid w:val="005B6233"/>
    <w:rsid w:val="005B682C"/>
    <w:rsid w:val="005B7C12"/>
    <w:rsid w:val="005C0BE3"/>
    <w:rsid w:val="005C0EF0"/>
    <w:rsid w:val="005C191C"/>
    <w:rsid w:val="005C5281"/>
    <w:rsid w:val="005D1213"/>
    <w:rsid w:val="005D2E3E"/>
    <w:rsid w:val="005D305B"/>
    <w:rsid w:val="005D3F42"/>
    <w:rsid w:val="005E15FA"/>
    <w:rsid w:val="005E205B"/>
    <w:rsid w:val="005F047D"/>
    <w:rsid w:val="005F33F9"/>
    <w:rsid w:val="005F3720"/>
    <w:rsid w:val="00610B22"/>
    <w:rsid w:val="0061100C"/>
    <w:rsid w:val="00615D03"/>
    <w:rsid w:val="00616D9E"/>
    <w:rsid w:val="0061755F"/>
    <w:rsid w:val="006228FC"/>
    <w:rsid w:val="006243FF"/>
    <w:rsid w:val="00627354"/>
    <w:rsid w:val="00627AA6"/>
    <w:rsid w:val="0063186E"/>
    <w:rsid w:val="006329D1"/>
    <w:rsid w:val="00635E6E"/>
    <w:rsid w:val="006369E9"/>
    <w:rsid w:val="00640CEC"/>
    <w:rsid w:val="00641202"/>
    <w:rsid w:val="00647FC7"/>
    <w:rsid w:val="006504A8"/>
    <w:rsid w:val="00650536"/>
    <w:rsid w:val="00650BBA"/>
    <w:rsid w:val="0065112B"/>
    <w:rsid w:val="006514E8"/>
    <w:rsid w:val="00655182"/>
    <w:rsid w:val="006554A7"/>
    <w:rsid w:val="00655D5B"/>
    <w:rsid w:val="00660C79"/>
    <w:rsid w:val="0066283F"/>
    <w:rsid w:val="0066300D"/>
    <w:rsid w:val="0066343D"/>
    <w:rsid w:val="00663D57"/>
    <w:rsid w:val="006649E8"/>
    <w:rsid w:val="006661FD"/>
    <w:rsid w:val="00667E51"/>
    <w:rsid w:val="00670C3E"/>
    <w:rsid w:val="00670C78"/>
    <w:rsid w:val="00672CD3"/>
    <w:rsid w:val="00674B65"/>
    <w:rsid w:val="00676380"/>
    <w:rsid w:val="006802F9"/>
    <w:rsid w:val="0068180C"/>
    <w:rsid w:val="0068389C"/>
    <w:rsid w:val="00684F5A"/>
    <w:rsid w:val="00686DF4"/>
    <w:rsid w:val="00690112"/>
    <w:rsid w:val="00690803"/>
    <w:rsid w:val="00693D3A"/>
    <w:rsid w:val="0069443C"/>
    <w:rsid w:val="00694FB3"/>
    <w:rsid w:val="006953B5"/>
    <w:rsid w:val="00697438"/>
    <w:rsid w:val="006A1AB3"/>
    <w:rsid w:val="006A55C0"/>
    <w:rsid w:val="006A6137"/>
    <w:rsid w:val="006B0251"/>
    <w:rsid w:val="006B1D15"/>
    <w:rsid w:val="006B322A"/>
    <w:rsid w:val="006B4DC5"/>
    <w:rsid w:val="006B69BF"/>
    <w:rsid w:val="006B6F6C"/>
    <w:rsid w:val="006C4C57"/>
    <w:rsid w:val="006C673B"/>
    <w:rsid w:val="006D16CE"/>
    <w:rsid w:val="006D5198"/>
    <w:rsid w:val="006E0DD6"/>
    <w:rsid w:val="006E3124"/>
    <w:rsid w:val="006E5244"/>
    <w:rsid w:val="006E56C2"/>
    <w:rsid w:val="006F266D"/>
    <w:rsid w:val="006F6E78"/>
    <w:rsid w:val="0070386F"/>
    <w:rsid w:val="00703F72"/>
    <w:rsid w:val="00704A86"/>
    <w:rsid w:val="00704C93"/>
    <w:rsid w:val="00715B11"/>
    <w:rsid w:val="00720E54"/>
    <w:rsid w:val="007213B8"/>
    <w:rsid w:val="00724ED6"/>
    <w:rsid w:val="00725053"/>
    <w:rsid w:val="00725F62"/>
    <w:rsid w:val="00732E4C"/>
    <w:rsid w:val="00734042"/>
    <w:rsid w:val="00734DD4"/>
    <w:rsid w:val="00735104"/>
    <w:rsid w:val="007351F0"/>
    <w:rsid w:val="00737E1C"/>
    <w:rsid w:val="007404EA"/>
    <w:rsid w:val="00740C3C"/>
    <w:rsid w:val="00741EFD"/>
    <w:rsid w:val="00743266"/>
    <w:rsid w:val="00751749"/>
    <w:rsid w:val="007533B0"/>
    <w:rsid w:val="00757BCD"/>
    <w:rsid w:val="00764323"/>
    <w:rsid w:val="00764E98"/>
    <w:rsid w:val="007656FD"/>
    <w:rsid w:val="007726A5"/>
    <w:rsid w:val="00776453"/>
    <w:rsid w:val="007775B4"/>
    <w:rsid w:val="007777DA"/>
    <w:rsid w:val="00777DBC"/>
    <w:rsid w:val="00785684"/>
    <w:rsid w:val="007907C6"/>
    <w:rsid w:val="0079141A"/>
    <w:rsid w:val="007931A1"/>
    <w:rsid w:val="0079381A"/>
    <w:rsid w:val="0079387C"/>
    <w:rsid w:val="00793ECC"/>
    <w:rsid w:val="0079440C"/>
    <w:rsid w:val="007A183E"/>
    <w:rsid w:val="007B0D2C"/>
    <w:rsid w:val="007B0EEE"/>
    <w:rsid w:val="007B215B"/>
    <w:rsid w:val="007B24AF"/>
    <w:rsid w:val="007B59B2"/>
    <w:rsid w:val="007B770A"/>
    <w:rsid w:val="007B7A6C"/>
    <w:rsid w:val="007C1448"/>
    <w:rsid w:val="007C1E79"/>
    <w:rsid w:val="007C3F12"/>
    <w:rsid w:val="007C4447"/>
    <w:rsid w:val="007C5566"/>
    <w:rsid w:val="007C6D26"/>
    <w:rsid w:val="007D1F0D"/>
    <w:rsid w:val="007D441B"/>
    <w:rsid w:val="007D4907"/>
    <w:rsid w:val="007E304F"/>
    <w:rsid w:val="007E3067"/>
    <w:rsid w:val="00800C06"/>
    <w:rsid w:val="00801105"/>
    <w:rsid w:val="008017DA"/>
    <w:rsid w:val="00802538"/>
    <w:rsid w:val="00803925"/>
    <w:rsid w:val="0081030C"/>
    <w:rsid w:val="008108F4"/>
    <w:rsid w:val="00812805"/>
    <w:rsid w:val="008129F4"/>
    <w:rsid w:val="00822E04"/>
    <w:rsid w:val="00823E90"/>
    <w:rsid w:val="00824D8E"/>
    <w:rsid w:val="00826954"/>
    <w:rsid w:val="008301A3"/>
    <w:rsid w:val="00831267"/>
    <w:rsid w:val="00831CA7"/>
    <w:rsid w:val="00832B09"/>
    <w:rsid w:val="00833CE8"/>
    <w:rsid w:val="00833F39"/>
    <w:rsid w:val="00837474"/>
    <w:rsid w:val="00842C8C"/>
    <w:rsid w:val="00846062"/>
    <w:rsid w:val="00847058"/>
    <w:rsid w:val="00853B87"/>
    <w:rsid w:val="00860BA6"/>
    <w:rsid w:val="00860C22"/>
    <w:rsid w:val="00861B46"/>
    <w:rsid w:val="0086498F"/>
    <w:rsid w:val="00866653"/>
    <w:rsid w:val="00877598"/>
    <w:rsid w:val="0087787C"/>
    <w:rsid w:val="00877B19"/>
    <w:rsid w:val="0088328C"/>
    <w:rsid w:val="00883336"/>
    <w:rsid w:val="00883C1E"/>
    <w:rsid w:val="00887510"/>
    <w:rsid w:val="00891E3D"/>
    <w:rsid w:val="00894248"/>
    <w:rsid w:val="00897CA6"/>
    <w:rsid w:val="008A7614"/>
    <w:rsid w:val="008B0537"/>
    <w:rsid w:val="008B1DFA"/>
    <w:rsid w:val="008B41FA"/>
    <w:rsid w:val="008B546C"/>
    <w:rsid w:val="008B6897"/>
    <w:rsid w:val="008B7CE7"/>
    <w:rsid w:val="008B7E70"/>
    <w:rsid w:val="008C1A73"/>
    <w:rsid w:val="008C47D6"/>
    <w:rsid w:val="008C631F"/>
    <w:rsid w:val="008D113C"/>
    <w:rsid w:val="008D115F"/>
    <w:rsid w:val="008D376F"/>
    <w:rsid w:val="008D38C0"/>
    <w:rsid w:val="008D4145"/>
    <w:rsid w:val="008D4D51"/>
    <w:rsid w:val="008E211E"/>
    <w:rsid w:val="008E2CE7"/>
    <w:rsid w:val="008E53A2"/>
    <w:rsid w:val="008E700B"/>
    <w:rsid w:val="008F563B"/>
    <w:rsid w:val="008F5B2F"/>
    <w:rsid w:val="008F7CA5"/>
    <w:rsid w:val="00901D47"/>
    <w:rsid w:val="00905C68"/>
    <w:rsid w:val="00907198"/>
    <w:rsid w:val="009114B5"/>
    <w:rsid w:val="009119E7"/>
    <w:rsid w:val="00911B06"/>
    <w:rsid w:val="00917BB1"/>
    <w:rsid w:val="00920C29"/>
    <w:rsid w:val="00923B75"/>
    <w:rsid w:val="009264B4"/>
    <w:rsid w:val="009319C3"/>
    <w:rsid w:val="00933E58"/>
    <w:rsid w:val="0093434F"/>
    <w:rsid w:val="00935172"/>
    <w:rsid w:val="00935BB9"/>
    <w:rsid w:val="009411D2"/>
    <w:rsid w:val="0094194A"/>
    <w:rsid w:val="00941CAE"/>
    <w:rsid w:val="00941DD8"/>
    <w:rsid w:val="009428AE"/>
    <w:rsid w:val="00943904"/>
    <w:rsid w:val="0094686C"/>
    <w:rsid w:val="00952DB3"/>
    <w:rsid w:val="00953114"/>
    <w:rsid w:val="0095540B"/>
    <w:rsid w:val="0095544B"/>
    <w:rsid w:val="00956336"/>
    <w:rsid w:val="00961EB9"/>
    <w:rsid w:val="009622FE"/>
    <w:rsid w:val="009657D9"/>
    <w:rsid w:val="00967C13"/>
    <w:rsid w:val="0097066E"/>
    <w:rsid w:val="00971B7B"/>
    <w:rsid w:val="009721FE"/>
    <w:rsid w:val="009733B9"/>
    <w:rsid w:val="00975D21"/>
    <w:rsid w:val="00980531"/>
    <w:rsid w:val="009812C0"/>
    <w:rsid w:val="00983231"/>
    <w:rsid w:val="009900D6"/>
    <w:rsid w:val="00990A28"/>
    <w:rsid w:val="009940C8"/>
    <w:rsid w:val="009943AF"/>
    <w:rsid w:val="0099486A"/>
    <w:rsid w:val="009A0EC4"/>
    <w:rsid w:val="009A12A4"/>
    <w:rsid w:val="009A240D"/>
    <w:rsid w:val="009A3ACC"/>
    <w:rsid w:val="009B4A2A"/>
    <w:rsid w:val="009B7185"/>
    <w:rsid w:val="009C04A8"/>
    <w:rsid w:val="009C324A"/>
    <w:rsid w:val="009C4C44"/>
    <w:rsid w:val="009C5F29"/>
    <w:rsid w:val="009C7736"/>
    <w:rsid w:val="009D0684"/>
    <w:rsid w:val="009D1AAE"/>
    <w:rsid w:val="009D2F30"/>
    <w:rsid w:val="009D74AD"/>
    <w:rsid w:val="009F246B"/>
    <w:rsid w:val="009F34E1"/>
    <w:rsid w:val="009F360C"/>
    <w:rsid w:val="00A01DD9"/>
    <w:rsid w:val="00A070F0"/>
    <w:rsid w:val="00A1256E"/>
    <w:rsid w:val="00A14136"/>
    <w:rsid w:val="00A151D2"/>
    <w:rsid w:val="00A160D3"/>
    <w:rsid w:val="00A1662A"/>
    <w:rsid w:val="00A16C9F"/>
    <w:rsid w:val="00A1759C"/>
    <w:rsid w:val="00A17AE3"/>
    <w:rsid w:val="00A17FEF"/>
    <w:rsid w:val="00A2242E"/>
    <w:rsid w:val="00A256AD"/>
    <w:rsid w:val="00A32C1B"/>
    <w:rsid w:val="00A32CDC"/>
    <w:rsid w:val="00A33770"/>
    <w:rsid w:val="00A3439D"/>
    <w:rsid w:val="00A378B2"/>
    <w:rsid w:val="00A4130E"/>
    <w:rsid w:val="00A4309D"/>
    <w:rsid w:val="00A54E43"/>
    <w:rsid w:val="00A56DE0"/>
    <w:rsid w:val="00A60103"/>
    <w:rsid w:val="00A60B0B"/>
    <w:rsid w:val="00A635D4"/>
    <w:rsid w:val="00A724BE"/>
    <w:rsid w:val="00A73116"/>
    <w:rsid w:val="00A733FB"/>
    <w:rsid w:val="00A767D9"/>
    <w:rsid w:val="00A80EB1"/>
    <w:rsid w:val="00A81152"/>
    <w:rsid w:val="00A843D9"/>
    <w:rsid w:val="00A8465C"/>
    <w:rsid w:val="00A8603F"/>
    <w:rsid w:val="00A86306"/>
    <w:rsid w:val="00A86866"/>
    <w:rsid w:val="00A9024F"/>
    <w:rsid w:val="00A904F4"/>
    <w:rsid w:val="00A93183"/>
    <w:rsid w:val="00A9349C"/>
    <w:rsid w:val="00AA1E7C"/>
    <w:rsid w:val="00AA26AF"/>
    <w:rsid w:val="00AA7876"/>
    <w:rsid w:val="00AB12F0"/>
    <w:rsid w:val="00AB562F"/>
    <w:rsid w:val="00AB6A41"/>
    <w:rsid w:val="00AB79B4"/>
    <w:rsid w:val="00AC0B4E"/>
    <w:rsid w:val="00AC38B8"/>
    <w:rsid w:val="00AC3F58"/>
    <w:rsid w:val="00AC7950"/>
    <w:rsid w:val="00AC7C7B"/>
    <w:rsid w:val="00AD0BE1"/>
    <w:rsid w:val="00AD3663"/>
    <w:rsid w:val="00AD6766"/>
    <w:rsid w:val="00AD768C"/>
    <w:rsid w:val="00AE02DF"/>
    <w:rsid w:val="00AE068C"/>
    <w:rsid w:val="00AE217B"/>
    <w:rsid w:val="00AE43E6"/>
    <w:rsid w:val="00AF177D"/>
    <w:rsid w:val="00AF4020"/>
    <w:rsid w:val="00AF54CD"/>
    <w:rsid w:val="00AF6AE4"/>
    <w:rsid w:val="00B00DDC"/>
    <w:rsid w:val="00B06800"/>
    <w:rsid w:val="00B07882"/>
    <w:rsid w:val="00B07BD4"/>
    <w:rsid w:val="00B111B8"/>
    <w:rsid w:val="00B1422F"/>
    <w:rsid w:val="00B145BA"/>
    <w:rsid w:val="00B15F76"/>
    <w:rsid w:val="00B21588"/>
    <w:rsid w:val="00B21DCC"/>
    <w:rsid w:val="00B25E69"/>
    <w:rsid w:val="00B268BE"/>
    <w:rsid w:val="00B27855"/>
    <w:rsid w:val="00B334FC"/>
    <w:rsid w:val="00B3415B"/>
    <w:rsid w:val="00B365F0"/>
    <w:rsid w:val="00B36F3A"/>
    <w:rsid w:val="00B379F3"/>
    <w:rsid w:val="00B4011D"/>
    <w:rsid w:val="00B421F0"/>
    <w:rsid w:val="00B45B6D"/>
    <w:rsid w:val="00B46E48"/>
    <w:rsid w:val="00B51181"/>
    <w:rsid w:val="00B5330F"/>
    <w:rsid w:val="00B54CF4"/>
    <w:rsid w:val="00B576D4"/>
    <w:rsid w:val="00B60451"/>
    <w:rsid w:val="00B62EDC"/>
    <w:rsid w:val="00B64D2A"/>
    <w:rsid w:val="00B66238"/>
    <w:rsid w:val="00B67C58"/>
    <w:rsid w:val="00B70B9B"/>
    <w:rsid w:val="00B72DD8"/>
    <w:rsid w:val="00B73414"/>
    <w:rsid w:val="00B73D3A"/>
    <w:rsid w:val="00B7541F"/>
    <w:rsid w:val="00B81A9F"/>
    <w:rsid w:val="00B87B00"/>
    <w:rsid w:val="00B87C3A"/>
    <w:rsid w:val="00B93F54"/>
    <w:rsid w:val="00B97923"/>
    <w:rsid w:val="00BA1117"/>
    <w:rsid w:val="00BA1190"/>
    <w:rsid w:val="00BA1580"/>
    <w:rsid w:val="00BA4EB5"/>
    <w:rsid w:val="00BA5484"/>
    <w:rsid w:val="00BB163C"/>
    <w:rsid w:val="00BB7E37"/>
    <w:rsid w:val="00BC0151"/>
    <w:rsid w:val="00BC353E"/>
    <w:rsid w:val="00BC3C0C"/>
    <w:rsid w:val="00BC63B9"/>
    <w:rsid w:val="00BD1047"/>
    <w:rsid w:val="00BD1357"/>
    <w:rsid w:val="00BD1825"/>
    <w:rsid w:val="00BD2783"/>
    <w:rsid w:val="00BD2CBD"/>
    <w:rsid w:val="00BD74DF"/>
    <w:rsid w:val="00BD7F91"/>
    <w:rsid w:val="00BE0206"/>
    <w:rsid w:val="00BE11A8"/>
    <w:rsid w:val="00BE1B20"/>
    <w:rsid w:val="00BE24C7"/>
    <w:rsid w:val="00BE2613"/>
    <w:rsid w:val="00BE374B"/>
    <w:rsid w:val="00BE3E63"/>
    <w:rsid w:val="00BE4AC2"/>
    <w:rsid w:val="00BE4BD3"/>
    <w:rsid w:val="00BF3F5D"/>
    <w:rsid w:val="00C00090"/>
    <w:rsid w:val="00C0436D"/>
    <w:rsid w:val="00C06029"/>
    <w:rsid w:val="00C07B29"/>
    <w:rsid w:val="00C12C09"/>
    <w:rsid w:val="00C2183B"/>
    <w:rsid w:val="00C3053C"/>
    <w:rsid w:val="00C331E4"/>
    <w:rsid w:val="00C34F02"/>
    <w:rsid w:val="00C3655C"/>
    <w:rsid w:val="00C47A0B"/>
    <w:rsid w:val="00C51F35"/>
    <w:rsid w:val="00C54893"/>
    <w:rsid w:val="00C569B9"/>
    <w:rsid w:val="00C600FA"/>
    <w:rsid w:val="00C61BA3"/>
    <w:rsid w:val="00C62518"/>
    <w:rsid w:val="00C63021"/>
    <w:rsid w:val="00C64375"/>
    <w:rsid w:val="00C65EB8"/>
    <w:rsid w:val="00C7345D"/>
    <w:rsid w:val="00C769B1"/>
    <w:rsid w:val="00C76F04"/>
    <w:rsid w:val="00C81255"/>
    <w:rsid w:val="00C830ED"/>
    <w:rsid w:val="00C8518D"/>
    <w:rsid w:val="00C91775"/>
    <w:rsid w:val="00C9231C"/>
    <w:rsid w:val="00C92E91"/>
    <w:rsid w:val="00C92ED6"/>
    <w:rsid w:val="00C94C2D"/>
    <w:rsid w:val="00C95518"/>
    <w:rsid w:val="00CA1444"/>
    <w:rsid w:val="00CA4F61"/>
    <w:rsid w:val="00CA51AF"/>
    <w:rsid w:val="00CA612D"/>
    <w:rsid w:val="00CB46F0"/>
    <w:rsid w:val="00CB5213"/>
    <w:rsid w:val="00CB75A6"/>
    <w:rsid w:val="00CB7C33"/>
    <w:rsid w:val="00CC4705"/>
    <w:rsid w:val="00CC4FE6"/>
    <w:rsid w:val="00CD0552"/>
    <w:rsid w:val="00CD1601"/>
    <w:rsid w:val="00CD485B"/>
    <w:rsid w:val="00CD64FE"/>
    <w:rsid w:val="00CD6AC0"/>
    <w:rsid w:val="00CD7DAD"/>
    <w:rsid w:val="00CE19E2"/>
    <w:rsid w:val="00CE56C8"/>
    <w:rsid w:val="00CE7220"/>
    <w:rsid w:val="00CE7417"/>
    <w:rsid w:val="00CF0A9E"/>
    <w:rsid w:val="00CF2165"/>
    <w:rsid w:val="00CF450B"/>
    <w:rsid w:val="00CF6678"/>
    <w:rsid w:val="00CF7EFB"/>
    <w:rsid w:val="00D03848"/>
    <w:rsid w:val="00D040B6"/>
    <w:rsid w:val="00D04165"/>
    <w:rsid w:val="00D105E2"/>
    <w:rsid w:val="00D122BC"/>
    <w:rsid w:val="00D1291E"/>
    <w:rsid w:val="00D150BF"/>
    <w:rsid w:val="00D226D8"/>
    <w:rsid w:val="00D23776"/>
    <w:rsid w:val="00D23AC3"/>
    <w:rsid w:val="00D2455C"/>
    <w:rsid w:val="00D30573"/>
    <w:rsid w:val="00D328F9"/>
    <w:rsid w:val="00D35448"/>
    <w:rsid w:val="00D40F3C"/>
    <w:rsid w:val="00D44E1C"/>
    <w:rsid w:val="00D45B8A"/>
    <w:rsid w:val="00D45CBF"/>
    <w:rsid w:val="00D50425"/>
    <w:rsid w:val="00D50DE9"/>
    <w:rsid w:val="00D54385"/>
    <w:rsid w:val="00D54428"/>
    <w:rsid w:val="00D55A53"/>
    <w:rsid w:val="00D56FC9"/>
    <w:rsid w:val="00D60335"/>
    <w:rsid w:val="00D61D3A"/>
    <w:rsid w:val="00D64268"/>
    <w:rsid w:val="00D706E5"/>
    <w:rsid w:val="00D841D1"/>
    <w:rsid w:val="00D846DB"/>
    <w:rsid w:val="00D8514B"/>
    <w:rsid w:val="00D851E5"/>
    <w:rsid w:val="00D873A1"/>
    <w:rsid w:val="00D93FD2"/>
    <w:rsid w:val="00D966FE"/>
    <w:rsid w:val="00DA274C"/>
    <w:rsid w:val="00DA2C2F"/>
    <w:rsid w:val="00DA33DE"/>
    <w:rsid w:val="00DA3587"/>
    <w:rsid w:val="00DA3DBF"/>
    <w:rsid w:val="00DA6037"/>
    <w:rsid w:val="00DA65B6"/>
    <w:rsid w:val="00DB1047"/>
    <w:rsid w:val="00DB210D"/>
    <w:rsid w:val="00DB684E"/>
    <w:rsid w:val="00DB7C01"/>
    <w:rsid w:val="00DC3464"/>
    <w:rsid w:val="00DC7953"/>
    <w:rsid w:val="00DD0291"/>
    <w:rsid w:val="00DD1369"/>
    <w:rsid w:val="00DD1406"/>
    <w:rsid w:val="00DD2EB5"/>
    <w:rsid w:val="00DD7CED"/>
    <w:rsid w:val="00DE25A5"/>
    <w:rsid w:val="00DE4BA7"/>
    <w:rsid w:val="00DE760E"/>
    <w:rsid w:val="00DF03A7"/>
    <w:rsid w:val="00DF0877"/>
    <w:rsid w:val="00DF25C1"/>
    <w:rsid w:val="00DF34CF"/>
    <w:rsid w:val="00E01D6F"/>
    <w:rsid w:val="00E023D4"/>
    <w:rsid w:val="00E02FD6"/>
    <w:rsid w:val="00E03CB1"/>
    <w:rsid w:val="00E03EB5"/>
    <w:rsid w:val="00E064CB"/>
    <w:rsid w:val="00E11A56"/>
    <w:rsid w:val="00E141D1"/>
    <w:rsid w:val="00E15433"/>
    <w:rsid w:val="00E15B1C"/>
    <w:rsid w:val="00E16C78"/>
    <w:rsid w:val="00E30C67"/>
    <w:rsid w:val="00E326A4"/>
    <w:rsid w:val="00E33659"/>
    <w:rsid w:val="00E42560"/>
    <w:rsid w:val="00E44FF1"/>
    <w:rsid w:val="00E45CBE"/>
    <w:rsid w:val="00E46C3C"/>
    <w:rsid w:val="00E47421"/>
    <w:rsid w:val="00E52F89"/>
    <w:rsid w:val="00E55679"/>
    <w:rsid w:val="00E60534"/>
    <w:rsid w:val="00E606EB"/>
    <w:rsid w:val="00E6319E"/>
    <w:rsid w:val="00E66524"/>
    <w:rsid w:val="00E67B74"/>
    <w:rsid w:val="00E67C75"/>
    <w:rsid w:val="00E75BC0"/>
    <w:rsid w:val="00E7778B"/>
    <w:rsid w:val="00E77E18"/>
    <w:rsid w:val="00E80713"/>
    <w:rsid w:val="00E81F7F"/>
    <w:rsid w:val="00E836FE"/>
    <w:rsid w:val="00E85F06"/>
    <w:rsid w:val="00E8686D"/>
    <w:rsid w:val="00E94F31"/>
    <w:rsid w:val="00EA09AF"/>
    <w:rsid w:val="00EA1BCC"/>
    <w:rsid w:val="00EB1688"/>
    <w:rsid w:val="00EB3B3C"/>
    <w:rsid w:val="00EB4016"/>
    <w:rsid w:val="00EB6B8A"/>
    <w:rsid w:val="00EC1F6F"/>
    <w:rsid w:val="00EC20F4"/>
    <w:rsid w:val="00EC51E9"/>
    <w:rsid w:val="00EC6A4E"/>
    <w:rsid w:val="00EC6A73"/>
    <w:rsid w:val="00ED110E"/>
    <w:rsid w:val="00EE1BCD"/>
    <w:rsid w:val="00EE2CE2"/>
    <w:rsid w:val="00EE3CEA"/>
    <w:rsid w:val="00EE48F9"/>
    <w:rsid w:val="00EE617C"/>
    <w:rsid w:val="00EE69DF"/>
    <w:rsid w:val="00EE7DCC"/>
    <w:rsid w:val="00EF1FBA"/>
    <w:rsid w:val="00EF32EA"/>
    <w:rsid w:val="00EF353E"/>
    <w:rsid w:val="00EF35D8"/>
    <w:rsid w:val="00EF5701"/>
    <w:rsid w:val="00F0098F"/>
    <w:rsid w:val="00F06327"/>
    <w:rsid w:val="00F064E5"/>
    <w:rsid w:val="00F07048"/>
    <w:rsid w:val="00F10D74"/>
    <w:rsid w:val="00F16C2C"/>
    <w:rsid w:val="00F215D0"/>
    <w:rsid w:val="00F22C12"/>
    <w:rsid w:val="00F24529"/>
    <w:rsid w:val="00F26D4B"/>
    <w:rsid w:val="00F31935"/>
    <w:rsid w:val="00F32AEA"/>
    <w:rsid w:val="00F34367"/>
    <w:rsid w:val="00F34DF8"/>
    <w:rsid w:val="00F369A0"/>
    <w:rsid w:val="00F42991"/>
    <w:rsid w:val="00F43C1E"/>
    <w:rsid w:val="00F47378"/>
    <w:rsid w:val="00F50211"/>
    <w:rsid w:val="00F51D95"/>
    <w:rsid w:val="00F53B74"/>
    <w:rsid w:val="00F54BB2"/>
    <w:rsid w:val="00F62AEF"/>
    <w:rsid w:val="00F655FD"/>
    <w:rsid w:val="00F65B09"/>
    <w:rsid w:val="00F70C3E"/>
    <w:rsid w:val="00F72274"/>
    <w:rsid w:val="00F76285"/>
    <w:rsid w:val="00F7634B"/>
    <w:rsid w:val="00F805C5"/>
    <w:rsid w:val="00F83BDC"/>
    <w:rsid w:val="00F8435D"/>
    <w:rsid w:val="00F91216"/>
    <w:rsid w:val="00FA6611"/>
    <w:rsid w:val="00FA7323"/>
    <w:rsid w:val="00FA7923"/>
    <w:rsid w:val="00FB65C7"/>
    <w:rsid w:val="00FC38A6"/>
    <w:rsid w:val="00FC470B"/>
    <w:rsid w:val="00FC5CDF"/>
    <w:rsid w:val="00FD0AE6"/>
    <w:rsid w:val="00FD6024"/>
    <w:rsid w:val="00FD6152"/>
    <w:rsid w:val="00FE1324"/>
    <w:rsid w:val="00FE56D3"/>
    <w:rsid w:val="00FE6BEC"/>
    <w:rsid w:val="00FF2801"/>
    <w:rsid w:val="00FF2DD2"/>
    <w:rsid w:val="00FF5D5A"/>
    <w:rsid w:val="00FF7D3B"/>
    <w:rsid w:val="1D66B4A6"/>
    <w:rsid w:val="208CC894"/>
    <w:rsid w:val="4991A051"/>
    <w:rsid w:val="64367E6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2342B"/>
  <w15:chartTrackingRefBased/>
  <w15:docId w15:val="{4FE627A1-5308-4A2B-8C6A-C56521CC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styleId="CommentText">
    <w:name w:val="annotation text"/>
    <w:basedOn w:val="Normal"/>
    <w:link w:val="CommentTextChar"/>
    <w:unhideWhenUsed/>
    <w:rsid w:val="00BA1580"/>
    <w:pPr>
      <w:spacing w:line="240" w:lineRule="auto"/>
    </w:pPr>
    <w:rPr>
      <w:sz w:val="20"/>
      <w:szCs w:val="20"/>
    </w:rPr>
  </w:style>
  <w:style w:type="character" w:customStyle="1" w:styleId="CommentTextChar">
    <w:name w:val="Comment Text Char"/>
    <w:basedOn w:val="DefaultParagraphFont"/>
    <w:link w:val="CommentText"/>
    <w:rsid w:val="00BA1580"/>
    <w:rPr>
      <w:rFonts w:eastAsiaTheme="minorEastAsia"/>
      <w:sz w:val="20"/>
      <w:szCs w:val="20"/>
    </w:rPr>
  </w:style>
  <w:style w:type="character" w:styleId="CommentReference">
    <w:name w:val="annotation reference"/>
    <w:semiHidden/>
    <w:unhideWhenUsed/>
    <w:rsid w:val="00BA1580"/>
    <w:rPr>
      <w:sz w:val="16"/>
      <w:szCs w:val="16"/>
    </w:rPr>
  </w:style>
  <w:style w:type="paragraph" w:styleId="ListParagraph">
    <w:name w:val="List Paragraph"/>
    <w:basedOn w:val="Normal"/>
    <w:uiPriority w:val="34"/>
    <w:qFormat/>
    <w:rsid w:val="00BA1580"/>
    <w:pPr>
      <w:ind w:left="720"/>
      <w:contextualSpacing/>
    </w:pPr>
  </w:style>
  <w:style w:type="paragraph" w:styleId="BodyText">
    <w:name w:val="Body Text"/>
    <w:link w:val="BodyTextChar"/>
    <w:unhideWhenUsed/>
    <w:rsid w:val="00BA1580"/>
    <w:pPr>
      <w:tabs>
        <w:tab w:val="left" w:pos="3119"/>
        <w:tab w:val="left" w:pos="5954"/>
      </w:tabs>
      <w:overflowPunct w:val="0"/>
      <w:autoSpaceDE w:val="0"/>
      <w:autoSpaceDN w:val="0"/>
      <w:adjustRightInd w:val="0"/>
      <w:spacing w:before="180" w:after="60"/>
      <w:ind w:left="567"/>
    </w:pPr>
    <w:rPr>
      <w:rFonts w:ascii="Arial" w:eastAsia="Times New Roman" w:hAnsi="Arial" w:cs="Times New Roman"/>
      <w:szCs w:val="28"/>
    </w:rPr>
  </w:style>
  <w:style w:type="character" w:customStyle="1" w:styleId="BodyTextChar">
    <w:name w:val="Body Text Char"/>
    <w:basedOn w:val="DefaultParagraphFont"/>
    <w:link w:val="BodyText"/>
    <w:rsid w:val="00BA1580"/>
    <w:rPr>
      <w:rFonts w:ascii="Arial" w:eastAsia="Times New Roman" w:hAnsi="Arial" w:cs="Times New Roman"/>
      <w:szCs w:val="28"/>
    </w:rPr>
  </w:style>
  <w:style w:type="paragraph" w:styleId="CommentSubject">
    <w:name w:val="annotation subject"/>
    <w:basedOn w:val="CommentText"/>
    <w:next w:val="CommentText"/>
    <w:link w:val="CommentSubjectChar"/>
    <w:uiPriority w:val="99"/>
    <w:semiHidden/>
    <w:unhideWhenUsed/>
    <w:rsid w:val="00DA3DBF"/>
    <w:rPr>
      <w:b/>
      <w:bCs/>
    </w:rPr>
  </w:style>
  <w:style w:type="character" w:customStyle="1" w:styleId="CommentSubjectChar">
    <w:name w:val="Comment Subject Char"/>
    <w:basedOn w:val="CommentTextChar"/>
    <w:link w:val="CommentSubject"/>
    <w:uiPriority w:val="99"/>
    <w:semiHidden/>
    <w:rsid w:val="00DA3DBF"/>
    <w:rPr>
      <w:rFonts w:eastAsiaTheme="minorEastAsia"/>
      <w:b/>
      <w:bCs/>
      <w:sz w:val="20"/>
      <w:szCs w:val="20"/>
    </w:rPr>
  </w:style>
  <w:style w:type="character" w:styleId="FollowedHyperlink">
    <w:name w:val="FollowedHyperlink"/>
    <w:basedOn w:val="DefaultParagraphFont"/>
    <w:uiPriority w:val="99"/>
    <w:semiHidden/>
    <w:unhideWhenUsed/>
    <w:rsid w:val="00E03CB1"/>
    <w:rPr>
      <w:color w:val="016574" w:themeColor="followedHyperlink"/>
      <w:u w:val="single"/>
    </w:rPr>
  </w:style>
  <w:style w:type="paragraph" w:styleId="ListBullet">
    <w:name w:val="List Bullet"/>
    <w:basedOn w:val="BodyText"/>
    <w:link w:val="ListBulletChar"/>
    <w:rsid w:val="00F42991"/>
    <w:pPr>
      <w:numPr>
        <w:numId w:val="2"/>
      </w:numPr>
      <w:tabs>
        <w:tab w:val="left" w:pos="1049"/>
        <w:tab w:val="left" w:pos="1134"/>
      </w:tabs>
      <w:spacing w:after="120"/>
      <w:textAlignment w:val="baseline"/>
    </w:pPr>
  </w:style>
  <w:style w:type="character" w:customStyle="1" w:styleId="ListBulletChar">
    <w:name w:val="List Bullet Char"/>
    <w:link w:val="ListBullet"/>
    <w:rsid w:val="00F42991"/>
    <w:rPr>
      <w:rFonts w:ascii="Arial" w:eastAsia="Times New Roman" w:hAnsi="Arial" w:cs="Times New Roman"/>
      <w:szCs w:val="28"/>
    </w:rPr>
  </w:style>
  <w:style w:type="table" w:styleId="TableGrid">
    <w:name w:val="Table Grid"/>
    <w:basedOn w:val="TableNormal"/>
    <w:uiPriority w:val="39"/>
    <w:rsid w:val="0055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
    <w:name w:val="TableBullet"/>
    <w:basedOn w:val="Normal"/>
    <w:next w:val="Normal"/>
    <w:rsid w:val="00431189"/>
    <w:pPr>
      <w:keepNext/>
      <w:keepLines/>
      <w:numPr>
        <w:numId w:val="3"/>
      </w:numPr>
      <w:tabs>
        <w:tab w:val="left" w:pos="340"/>
      </w:tabs>
      <w:overflowPunct w:val="0"/>
      <w:autoSpaceDE w:val="0"/>
      <w:autoSpaceDN w:val="0"/>
      <w:adjustRightInd w:val="0"/>
      <w:spacing w:before="120" w:after="60" w:line="240" w:lineRule="auto"/>
      <w:ind w:right="57"/>
      <w:textAlignment w:val="baseline"/>
    </w:pPr>
    <w:rPr>
      <w:rFonts w:ascii="Arial" w:eastAsia="Times New Roman" w:hAnsi="Arial" w:cs="Times New Roman"/>
      <w:sz w:val="20"/>
    </w:rPr>
  </w:style>
  <w:style w:type="paragraph" w:customStyle="1" w:styleId="TableBody">
    <w:name w:val="TableBody"/>
    <w:basedOn w:val="Normal"/>
    <w:rsid w:val="002F6FC1"/>
    <w:pPr>
      <w:keepNext/>
      <w:keepLines/>
      <w:overflowPunct w:val="0"/>
      <w:autoSpaceDE w:val="0"/>
      <w:autoSpaceDN w:val="0"/>
      <w:adjustRightInd w:val="0"/>
      <w:spacing w:before="120" w:after="60" w:line="240" w:lineRule="auto"/>
      <w:ind w:left="113" w:right="57"/>
      <w:textAlignment w:val="baseline"/>
    </w:pPr>
    <w:rPr>
      <w:rFonts w:ascii="Arial" w:eastAsia="Times New Roman" w:hAnsi="Arial" w:cs="Times New Roman"/>
      <w:sz w:val="20"/>
    </w:rPr>
  </w:style>
  <w:style w:type="character" w:styleId="HTMLSample">
    <w:name w:val="HTML Sample"/>
    <w:semiHidden/>
    <w:rsid w:val="009A0EC4"/>
    <w:rPr>
      <w:rFonts w:ascii="Courier New" w:hAnsi="Courier New" w:cs="Courier New"/>
    </w:rPr>
  </w:style>
  <w:style w:type="paragraph" w:customStyle="1" w:styleId="Version">
    <w:name w:val="Version"/>
    <w:basedOn w:val="BodyText"/>
    <w:next w:val="BodyText"/>
    <w:rsid w:val="000778F5"/>
    <w:pPr>
      <w:spacing w:before="6000" w:line="360" w:lineRule="auto"/>
      <w:ind w:left="284"/>
      <w:textAlignment w:val="baseline"/>
    </w:pPr>
    <w:rPr>
      <w:szCs w:val="24"/>
    </w:rPr>
  </w:style>
  <w:style w:type="paragraph" w:customStyle="1" w:styleId="Sub-heading">
    <w:name w:val="Sub-heading"/>
    <w:basedOn w:val="Heading3"/>
    <w:next w:val="BodyText"/>
    <w:rsid w:val="00115FF6"/>
    <w:pPr>
      <w:keepLines w:val="0"/>
      <w:shd w:val="clear" w:color="8DA3B2" w:fill="auto"/>
      <w:tabs>
        <w:tab w:val="left" w:pos="1021"/>
      </w:tabs>
      <w:spacing w:before="320" w:after="200"/>
    </w:pPr>
    <w:rPr>
      <w:rFonts w:ascii="Helvetica" w:eastAsia="Times New Roman" w:hAnsi="Helvetica" w:cs="Times New Roman"/>
      <w:kern w:val="28"/>
      <w:szCs w:val="32"/>
    </w:rPr>
  </w:style>
  <w:style w:type="character" w:styleId="Mention">
    <w:name w:val="Mention"/>
    <w:basedOn w:val="DefaultParagraphFont"/>
    <w:uiPriority w:val="99"/>
    <w:unhideWhenUsed/>
    <w:rsid w:val="00734042"/>
    <w:rPr>
      <w:color w:val="2B579A"/>
      <w:shd w:val="clear" w:color="auto" w:fill="E1DFDD"/>
    </w:rPr>
  </w:style>
  <w:style w:type="paragraph" w:styleId="TOCHeading">
    <w:name w:val="TOC Heading"/>
    <w:basedOn w:val="Heading1"/>
    <w:next w:val="Normal"/>
    <w:uiPriority w:val="39"/>
    <w:unhideWhenUsed/>
    <w:qFormat/>
    <w:rsid w:val="00B379F3"/>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B379F3"/>
    <w:pPr>
      <w:spacing w:after="100"/>
    </w:pPr>
  </w:style>
  <w:style w:type="paragraph" w:styleId="TOC2">
    <w:name w:val="toc 2"/>
    <w:basedOn w:val="Normal"/>
    <w:next w:val="Normal"/>
    <w:autoRedefine/>
    <w:uiPriority w:val="39"/>
    <w:unhideWhenUsed/>
    <w:rsid w:val="00B379F3"/>
    <w:pPr>
      <w:spacing w:after="100"/>
      <w:ind w:left="240"/>
    </w:pPr>
  </w:style>
  <w:style w:type="paragraph" w:styleId="TOC3">
    <w:name w:val="toc 3"/>
    <w:basedOn w:val="Normal"/>
    <w:next w:val="Normal"/>
    <w:autoRedefine/>
    <w:uiPriority w:val="39"/>
    <w:unhideWhenUsed/>
    <w:rsid w:val="00B379F3"/>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31595">
      <w:bodyDiv w:val="1"/>
      <w:marLeft w:val="0"/>
      <w:marRight w:val="0"/>
      <w:marTop w:val="0"/>
      <w:marBottom w:val="0"/>
      <w:divBdr>
        <w:top w:val="none" w:sz="0" w:space="0" w:color="auto"/>
        <w:left w:val="none" w:sz="0" w:space="0" w:color="auto"/>
        <w:bottom w:val="none" w:sz="0" w:space="0" w:color="auto"/>
        <w:right w:val="none" w:sz="0" w:space="0" w:color="auto"/>
      </w:divBdr>
      <w:divsChild>
        <w:div w:id="390352795">
          <w:marLeft w:val="0"/>
          <w:marRight w:val="0"/>
          <w:marTop w:val="0"/>
          <w:marBottom w:val="0"/>
          <w:divBdr>
            <w:top w:val="none" w:sz="0" w:space="0" w:color="auto"/>
            <w:left w:val="none" w:sz="0" w:space="0" w:color="auto"/>
            <w:bottom w:val="none" w:sz="0" w:space="0" w:color="auto"/>
            <w:right w:val="none" w:sz="0" w:space="0" w:color="auto"/>
          </w:divBdr>
          <w:divsChild>
            <w:div w:id="81029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1516">
      <w:bodyDiv w:val="1"/>
      <w:marLeft w:val="0"/>
      <w:marRight w:val="0"/>
      <w:marTop w:val="0"/>
      <w:marBottom w:val="0"/>
      <w:divBdr>
        <w:top w:val="none" w:sz="0" w:space="0" w:color="auto"/>
        <w:left w:val="none" w:sz="0" w:space="0" w:color="auto"/>
        <w:bottom w:val="none" w:sz="0" w:space="0" w:color="auto"/>
        <w:right w:val="none" w:sz="0" w:space="0" w:color="auto"/>
      </w:divBdr>
    </w:div>
    <w:div w:id="186067982">
      <w:bodyDiv w:val="1"/>
      <w:marLeft w:val="0"/>
      <w:marRight w:val="0"/>
      <w:marTop w:val="0"/>
      <w:marBottom w:val="0"/>
      <w:divBdr>
        <w:top w:val="none" w:sz="0" w:space="0" w:color="auto"/>
        <w:left w:val="none" w:sz="0" w:space="0" w:color="auto"/>
        <w:bottom w:val="none" w:sz="0" w:space="0" w:color="auto"/>
        <w:right w:val="none" w:sz="0" w:space="0" w:color="auto"/>
      </w:divBdr>
    </w:div>
    <w:div w:id="189227980">
      <w:bodyDiv w:val="1"/>
      <w:marLeft w:val="0"/>
      <w:marRight w:val="0"/>
      <w:marTop w:val="0"/>
      <w:marBottom w:val="0"/>
      <w:divBdr>
        <w:top w:val="none" w:sz="0" w:space="0" w:color="auto"/>
        <w:left w:val="none" w:sz="0" w:space="0" w:color="auto"/>
        <w:bottom w:val="none" w:sz="0" w:space="0" w:color="auto"/>
        <w:right w:val="none" w:sz="0" w:space="0" w:color="auto"/>
      </w:divBdr>
    </w:div>
    <w:div w:id="208421155">
      <w:bodyDiv w:val="1"/>
      <w:marLeft w:val="0"/>
      <w:marRight w:val="0"/>
      <w:marTop w:val="0"/>
      <w:marBottom w:val="0"/>
      <w:divBdr>
        <w:top w:val="none" w:sz="0" w:space="0" w:color="auto"/>
        <w:left w:val="none" w:sz="0" w:space="0" w:color="auto"/>
        <w:bottom w:val="none" w:sz="0" w:space="0" w:color="auto"/>
        <w:right w:val="none" w:sz="0" w:space="0" w:color="auto"/>
      </w:divBdr>
    </w:div>
    <w:div w:id="230700162">
      <w:bodyDiv w:val="1"/>
      <w:marLeft w:val="0"/>
      <w:marRight w:val="0"/>
      <w:marTop w:val="0"/>
      <w:marBottom w:val="0"/>
      <w:divBdr>
        <w:top w:val="none" w:sz="0" w:space="0" w:color="auto"/>
        <w:left w:val="none" w:sz="0" w:space="0" w:color="auto"/>
        <w:bottom w:val="none" w:sz="0" w:space="0" w:color="auto"/>
        <w:right w:val="none" w:sz="0" w:space="0" w:color="auto"/>
      </w:divBdr>
      <w:divsChild>
        <w:div w:id="2051953920">
          <w:marLeft w:val="0"/>
          <w:marRight w:val="0"/>
          <w:marTop w:val="0"/>
          <w:marBottom w:val="0"/>
          <w:divBdr>
            <w:top w:val="none" w:sz="0" w:space="0" w:color="auto"/>
            <w:left w:val="none" w:sz="0" w:space="0" w:color="auto"/>
            <w:bottom w:val="none" w:sz="0" w:space="0" w:color="auto"/>
            <w:right w:val="none" w:sz="0" w:space="0" w:color="auto"/>
          </w:divBdr>
          <w:divsChild>
            <w:div w:id="878514550">
              <w:marLeft w:val="0"/>
              <w:marRight w:val="0"/>
              <w:marTop w:val="0"/>
              <w:marBottom w:val="0"/>
              <w:divBdr>
                <w:top w:val="none" w:sz="0" w:space="0" w:color="auto"/>
                <w:left w:val="none" w:sz="0" w:space="0" w:color="auto"/>
                <w:bottom w:val="none" w:sz="0" w:space="0" w:color="auto"/>
                <w:right w:val="none" w:sz="0" w:space="0" w:color="auto"/>
              </w:divBdr>
            </w:div>
            <w:div w:id="202212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01005">
      <w:bodyDiv w:val="1"/>
      <w:marLeft w:val="0"/>
      <w:marRight w:val="0"/>
      <w:marTop w:val="0"/>
      <w:marBottom w:val="0"/>
      <w:divBdr>
        <w:top w:val="none" w:sz="0" w:space="0" w:color="auto"/>
        <w:left w:val="none" w:sz="0" w:space="0" w:color="auto"/>
        <w:bottom w:val="none" w:sz="0" w:space="0" w:color="auto"/>
        <w:right w:val="none" w:sz="0" w:space="0" w:color="auto"/>
      </w:divBdr>
    </w:div>
    <w:div w:id="279655267">
      <w:bodyDiv w:val="1"/>
      <w:marLeft w:val="0"/>
      <w:marRight w:val="0"/>
      <w:marTop w:val="0"/>
      <w:marBottom w:val="0"/>
      <w:divBdr>
        <w:top w:val="none" w:sz="0" w:space="0" w:color="auto"/>
        <w:left w:val="none" w:sz="0" w:space="0" w:color="auto"/>
        <w:bottom w:val="none" w:sz="0" w:space="0" w:color="auto"/>
        <w:right w:val="none" w:sz="0" w:space="0" w:color="auto"/>
      </w:divBdr>
    </w:div>
    <w:div w:id="381368750">
      <w:bodyDiv w:val="1"/>
      <w:marLeft w:val="0"/>
      <w:marRight w:val="0"/>
      <w:marTop w:val="0"/>
      <w:marBottom w:val="0"/>
      <w:divBdr>
        <w:top w:val="none" w:sz="0" w:space="0" w:color="auto"/>
        <w:left w:val="none" w:sz="0" w:space="0" w:color="auto"/>
        <w:bottom w:val="none" w:sz="0" w:space="0" w:color="auto"/>
        <w:right w:val="none" w:sz="0" w:space="0" w:color="auto"/>
      </w:divBdr>
    </w:div>
    <w:div w:id="382145559">
      <w:bodyDiv w:val="1"/>
      <w:marLeft w:val="0"/>
      <w:marRight w:val="0"/>
      <w:marTop w:val="0"/>
      <w:marBottom w:val="0"/>
      <w:divBdr>
        <w:top w:val="none" w:sz="0" w:space="0" w:color="auto"/>
        <w:left w:val="none" w:sz="0" w:space="0" w:color="auto"/>
        <w:bottom w:val="none" w:sz="0" w:space="0" w:color="auto"/>
        <w:right w:val="none" w:sz="0" w:space="0" w:color="auto"/>
      </w:divBdr>
    </w:div>
    <w:div w:id="398943490">
      <w:bodyDiv w:val="1"/>
      <w:marLeft w:val="0"/>
      <w:marRight w:val="0"/>
      <w:marTop w:val="0"/>
      <w:marBottom w:val="0"/>
      <w:divBdr>
        <w:top w:val="none" w:sz="0" w:space="0" w:color="auto"/>
        <w:left w:val="none" w:sz="0" w:space="0" w:color="auto"/>
        <w:bottom w:val="none" w:sz="0" w:space="0" w:color="auto"/>
        <w:right w:val="none" w:sz="0" w:space="0" w:color="auto"/>
      </w:divBdr>
    </w:div>
    <w:div w:id="409666157">
      <w:bodyDiv w:val="1"/>
      <w:marLeft w:val="0"/>
      <w:marRight w:val="0"/>
      <w:marTop w:val="0"/>
      <w:marBottom w:val="0"/>
      <w:divBdr>
        <w:top w:val="none" w:sz="0" w:space="0" w:color="auto"/>
        <w:left w:val="none" w:sz="0" w:space="0" w:color="auto"/>
        <w:bottom w:val="none" w:sz="0" w:space="0" w:color="auto"/>
        <w:right w:val="none" w:sz="0" w:space="0" w:color="auto"/>
      </w:divBdr>
    </w:div>
    <w:div w:id="414016168">
      <w:bodyDiv w:val="1"/>
      <w:marLeft w:val="0"/>
      <w:marRight w:val="0"/>
      <w:marTop w:val="0"/>
      <w:marBottom w:val="0"/>
      <w:divBdr>
        <w:top w:val="none" w:sz="0" w:space="0" w:color="auto"/>
        <w:left w:val="none" w:sz="0" w:space="0" w:color="auto"/>
        <w:bottom w:val="none" w:sz="0" w:space="0" w:color="auto"/>
        <w:right w:val="none" w:sz="0" w:space="0" w:color="auto"/>
      </w:divBdr>
    </w:div>
    <w:div w:id="415443754">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461971117">
      <w:bodyDiv w:val="1"/>
      <w:marLeft w:val="0"/>
      <w:marRight w:val="0"/>
      <w:marTop w:val="0"/>
      <w:marBottom w:val="0"/>
      <w:divBdr>
        <w:top w:val="none" w:sz="0" w:space="0" w:color="auto"/>
        <w:left w:val="none" w:sz="0" w:space="0" w:color="auto"/>
        <w:bottom w:val="none" w:sz="0" w:space="0" w:color="auto"/>
        <w:right w:val="none" w:sz="0" w:space="0" w:color="auto"/>
      </w:divBdr>
    </w:div>
    <w:div w:id="472061367">
      <w:bodyDiv w:val="1"/>
      <w:marLeft w:val="0"/>
      <w:marRight w:val="0"/>
      <w:marTop w:val="0"/>
      <w:marBottom w:val="0"/>
      <w:divBdr>
        <w:top w:val="none" w:sz="0" w:space="0" w:color="auto"/>
        <w:left w:val="none" w:sz="0" w:space="0" w:color="auto"/>
        <w:bottom w:val="none" w:sz="0" w:space="0" w:color="auto"/>
        <w:right w:val="none" w:sz="0" w:space="0" w:color="auto"/>
      </w:divBdr>
    </w:div>
    <w:div w:id="540092072">
      <w:bodyDiv w:val="1"/>
      <w:marLeft w:val="0"/>
      <w:marRight w:val="0"/>
      <w:marTop w:val="0"/>
      <w:marBottom w:val="0"/>
      <w:divBdr>
        <w:top w:val="none" w:sz="0" w:space="0" w:color="auto"/>
        <w:left w:val="none" w:sz="0" w:space="0" w:color="auto"/>
        <w:bottom w:val="none" w:sz="0" w:space="0" w:color="auto"/>
        <w:right w:val="none" w:sz="0" w:space="0" w:color="auto"/>
      </w:divBdr>
    </w:div>
    <w:div w:id="541209098">
      <w:bodyDiv w:val="1"/>
      <w:marLeft w:val="0"/>
      <w:marRight w:val="0"/>
      <w:marTop w:val="0"/>
      <w:marBottom w:val="0"/>
      <w:divBdr>
        <w:top w:val="none" w:sz="0" w:space="0" w:color="auto"/>
        <w:left w:val="none" w:sz="0" w:space="0" w:color="auto"/>
        <w:bottom w:val="none" w:sz="0" w:space="0" w:color="auto"/>
        <w:right w:val="none" w:sz="0" w:space="0" w:color="auto"/>
      </w:divBdr>
    </w:div>
    <w:div w:id="554660700">
      <w:bodyDiv w:val="1"/>
      <w:marLeft w:val="0"/>
      <w:marRight w:val="0"/>
      <w:marTop w:val="0"/>
      <w:marBottom w:val="0"/>
      <w:divBdr>
        <w:top w:val="none" w:sz="0" w:space="0" w:color="auto"/>
        <w:left w:val="none" w:sz="0" w:space="0" w:color="auto"/>
        <w:bottom w:val="none" w:sz="0" w:space="0" w:color="auto"/>
        <w:right w:val="none" w:sz="0" w:space="0" w:color="auto"/>
      </w:divBdr>
    </w:div>
    <w:div w:id="576399696">
      <w:bodyDiv w:val="1"/>
      <w:marLeft w:val="0"/>
      <w:marRight w:val="0"/>
      <w:marTop w:val="0"/>
      <w:marBottom w:val="0"/>
      <w:divBdr>
        <w:top w:val="none" w:sz="0" w:space="0" w:color="auto"/>
        <w:left w:val="none" w:sz="0" w:space="0" w:color="auto"/>
        <w:bottom w:val="none" w:sz="0" w:space="0" w:color="auto"/>
        <w:right w:val="none" w:sz="0" w:space="0" w:color="auto"/>
      </w:divBdr>
    </w:div>
    <w:div w:id="688601925">
      <w:bodyDiv w:val="1"/>
      <w:marLeft w:val="0"/>
      <w:marRight w:val="0"/>
      <w:marTop w:val="0"/>
      <w:marBottom w:val="0"/>
      <w:divBdr>
        <w:top w:val="none" w:sz="0" w:space="0" w:color="auto"/>
        <w:left w:val="none" w:sz="0" w:space="0" w:color="auto"/>
        <w:bottom w:val="none" w:sz="0" w:space="0" w:color="auto"/>
        <w:right w:val="none" w:sz="0" w:space="0" w:color="auto"/>
      </w:divBdr>
    </w:div>
    <w:div w:id="708533594">
      <w:bodyDiv w:val="1"/>
      <w:marLeft w:val="0"/>
      <w:marRight w:val="0"/>
      <w:marTop w:val="0"/>
      <w:marBottom w:val="0"/>
      <w:divBdr>
        <w:top w:val="none" w:sz="0" w:space="0" w:color="auto"/>
        <w:left w:val="none" w:sz="0" w:space="0" w:color="auto"/>
        <w:bottom w:val="none" w:sz="0" w:space="0" w:color="auto"/>
        <w:right w:val="none" w:sz="0" w:space="0" w:color="auto"/>
      </w:divBdr>
    </w:div>
    <w:div w:id="745150877">
      <w:bodyDiv w:val="1"/>
      <w:marLeft w:val="0"/>
      <w:marRight w:val="0"/>
      <w:marTop w:val="0"/>
      <w:marBottom w:val="0"/>
      <w:divBdr>
        <w:top w:val="none" w:sz="0" w:space="0" w:color="auto"/>
        <w:left w:val="none" w:sz="0" w:space="0" w:color="auto"/>
        <w:bottom w:val="none" w:sz="0" w:space="0" w:color="auto"/>
        <w:right w:val="none" w:sz="0" w:space="0" w:color="auto"/>
      </w:divBdr>
    </w:div>
    <w:div w:id="766577372">
      <w:bodyDiv w:val="1"/>
      <w:marLeft w:val="0"/>
      <w:marRight w:val="0"/>
      <w:marTop w:val="0"/>
      <w:marBottom w:val="0"/>
      <w:divBdr>
        <w:top w:val="none" w:sz="0" w:space="0" w:color="auto"/>
        <w:left w:val="none" w:sz="0" w:space="0" w:color="auto"/>
        <w:bottom w:val="none" w:sz="0" w:space="0" w:color="auto"/>
        <w:right w:val="none" w:sz="0" w:space="0" w:color="auto"/>
      </w:divBdr>
    </w:div>
    <w:div w:id="862477526">
      <w:bodyDiv w:val="1"/>
      <w:marLeft w:val="0"/>
      <w:marRight w:val="0"/>
      <w:marTop w:val="0"/>
      <w:marBottom w:val="0"/>
      <w:divBdr>
        <w:top w:val="none" w:sz="0" w:space="0" w:color="auto"/>
        <w:left w:val="none" w:sz="0" w:space="0" w:color="auto"/>
        <w:bottom w:val="none" w:sz="0" w:space="0" w:color="auto"/>
        <w:right w:val="none" w:sz="0" w:space="0" w:color="auto"/>
      </w:divBdr>
    </w:div>
    <w:div w:id="908002742">
      <w:bodyDiv w:val="1"/>
      <w:marLeft w:val="0"/>
      <w:marRight w:val="0"/>
      <w:marTop w:val="0"/>
      <w:marBottom w:val="0"/>
      <w:divBdr>
        <w:top w:val="none" w:sz="0" w:space="0" w:color="auto"/>
        <w:left w:val="none" w:sz="0" w:space="0" w:color="auto"/>
        <w:bottom w:val="none" w:sz="0" w:space="0" w:color="auto"/>
        <w:right w:val="none" w:sz="0" w:space="0" w:color="auto"/>
      </w:divBdr>
    </w:div>
    <w:div w:id="911768934">
      <w:bodyDiv w:val="1"/>
      <w:marLeft w:val="0"/>
      <w:marRight w:val="0"/>
      <w:marTop w:val="0"/>
      <w:marBottom w:val="0"/>
      <w:divBdr>
        <w:top w:val="none" w:sz="0" w:space="0" w:color="auto"/>
        <w:left w:val="none" w:sz="0" w:space="0" w:color="auto"/>
        <w:bottom w:val="none" w:sz="0" w:space="0" w:color="auto"/>
        <w:right w:val="none" w:sz="0" w:space="0" w:color="auto"/>
      </w:divBdr>
    </w:div>
    <w:div w:id="921185404">
      <w:bodyDiv w:val="1"/>
      <w:marLeft w:val="0"/>
      <w:marRight w:val="0"/>
      <w:marTop w:val="0"/>
      <w:marBottom w:val="0"/>
      <w:divBdr>
        <w:top w:val="none" w:sz="0" w:space="0" w:color="auto"/>
        <w:left w:val="none" w:sz="0" w:space="0" w:color="auto"/>
        <w:bottom w:val="none" w:sz="0" w:space="0" w:color="auto"/>
        <w:right w:val="none" w:sz="0" w:space="0" w:color="auto"/>
      </w:divBdr>
    </w:div>
    <w:div w:id="964317019">
      <w:bodyDiv w:val="1"/>
      <w:marLeft w:val="0"/>
      <w:marRight w:val="0"/>
      <w:marTop w:val="0"/>
      <w:marBottom w:val="0"/>
      <w:divBdr>
        <w:top w:val="none" w:sz="0" w:space="0" w:color="auto"/>
        <w:left w:val="none" w:sz="0" w:space="0" w:color="auto"/>
        <w:bottom w:val="none" w:sz="0" w:space="0" w:color="auto"/>
        <w:right w:val="none" w:sz="0" w:space="0" w:color="auto"/>
      </w:divBdr>
    </w:div>
    <w:div w:id="1016274776">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67191286">
      <w:bodyDiv w:val="1"/>
      <w:marLeft w:val="0"/>
      <w:marRight w:val="0"/>
      <w:marTop w:val="0"/>
      <w:marBottom w:val="0"/>
      <w:divBdr>
        <w:top w:val="none" w:sz="0" w:space="0" w:color="auto"/>
        <w:left w:val="none" w:sz="0" w:space="0" w:color="auto"/>
        <w:bottom w:val="none" w:sz="0" w:space="0" w:color="auto"/>
        <w:right w:val="none" w:sz="0" w:space="0" w:color="auto"/>
      </w:divBdr>
      <w:divsChild>
        <w:div w:id="1152526494">
          <w:marLeft w:val="0"/>
          <w:marRight w:val="0"/>
          <w:marTop w:val="0"/>
          <w:marBottom w:val="0"/>
          <w:divBdr>
            <w:top w:val="none" w:sz="0" w:space="0" w:color="auto"/>
            <w:left w:val="none" w:sz="0" w:space="0" w:color="auto"/>
            <w:bottom w:val="none" w:sz="0" w:space="0" w:color="auto"/>
            <w:right w:val="none" w:sz="0" w:space="0" w:color="auto"/>
          </w:divBdr>
          <w:divsChild>
            <w:div w:id="425153334">
              <w:marLeft w:val="0"/>
              <w:marRight w:val="0"/>
              <w:marTop w:val="0"/>
              <w:marBottom w:val="0"/>
              <w:divBdr>
                <w:top w:val="none" w:sz="0" w:space="0" w:color="auto"/>
                <w:left w:val="none" w:sz="0" w:space="0" w:color="auto"/>
                <w:bottom w:val="none" w:sz="0" w:space="0" w:color="auto"/>
                <w:right w:val="none" w:sz="0" w:space="0" w:color="auto"/>
              </w:divBdr>
            </w:div>
            <w:div w:id="13427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03426">
      <w:bodyDiv w:val="1"/>
      <w:marLeft w:val="0"/>
      <w:marRight w:val="0"/>
      <w:marTop w:val="0"/>
      <w:marBottom w:val="0"/>
      <w:divBdr>
        <w:top w:val="none" w:sz="0" w:space="0" w:color="auto"/>
        <w:left w:val="none" w:sz="0" w:space="0" w:color="auto"/>
        <w:bottom w:val="none" w:sz="0" w:space="0" w:color="auto"/>
        <w:right w:val="none" w:sz="0" w:space="0" w:color="auto"/>
      </w:divBdr>
      <w:divsChild>
        <w:div w:id="95179990">
          <w:marLeft w:val="0"/>
          <w:marRight w:val="0"/>
          <w:marTop w:val="0"/>
          <w:marBottom w:val="0"/>
          <w:divBdr>
            <w:top w:val="none" w:sz="0" w:space="0" w:color="auto"/>
            <w:left w:val="none" w:sz="0" w:space="0" w:color="auto"/>
            <w:bottom w:val="none" w:sz="0" w:space="0" w:color="auto"/>
            <w:right w:val="none" w:sz="0" w:space="0" w:color="auto"/>
          </w:divBdr>
          <w:divsChild>
            <w:div w:id="101472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18506">
      <w:bodyDiv w:val="1"/>
      <w:marLeft w:val="0"/>
      <w:marRight w:val="0"/>
      <w:marTop w:val="0"/>
      <w:marBottom w:val="0"/>
      <w:divBdr>
        <w:top w:val="none" w:sz="0" w:space="0" w:color="auto"/>
        <w:left w:val="none" w:sz="0" w:space="0" w:color="auto"/>
        <w:bottom w:val="none" w:sz="0" w:space="0" w:color="auto"/>
        <w:right w:val="none" w:sz="0" w:space="0" w:color="auto"/>
      </w:divBdr>
    </w:div>
    <w:div w:id="1195578971">
      <w:bodyDiv w:val="1"/>
      <w:marLeft w:val="0"/>
      <w:marRight w:val="0"/>
      <w:marTop w:val="0"/>
      <w:marBottom w:val="0"/>
      <w:divBdr>
        <w:top w:val="none" w:sz="0" w:space="0" w:color="auto"/>
        <w:left w:val="none" w:sz="0" w:space="0" w:color="auto"/>
        <w:bottom w:val="none" w:sz="0" w:space="0" w:color="auto"/>
        <w:right w:val="none" w:sz="0" w:space="0" w:color="auto"/>
      </w:divBdr>
    </w:div>
    <w:div w:id="1243374263">
      <w:bodyDiv w:val="1"/>
      <w:marLeft w:val="0"/>
      <w:marRight w:val="0"/>
      <w:marTop w:val="0"/>
      <w:marBottom w:val="0"/>
      <w:divBdr>
        <w:top w:val="none" w:sz="0" w:space="0" w:color="auto"/>
        <w:left w:val="none" w:sz="0" w:space="0" w:color="auto"/>
        <w:bottom w:val="none" w:sz="0" w:space="0" w:color="auto"/>
        <w:right w:val="none" w:sz="0" w:space="0" w:color="auto"/>
      </w:divBdr>
    </w:div>
    <w:div w:id="1282151920">
      <w:bodyDiv w:val="1"/>
      <w:marLeft w:val="0"/>
      <w:marRight w:val="0"/>
      <w:marTop w:val="0"/>
      <w:marBottom w:val="0"/>
      <w:divBdr>
        <w:top w:val="none" w:sz="0" w:space="0" w:color="auto"/>
        <w:left w:val="none" w:sz="0" w:space="0" w:color="auto"/>
        <w:bottom w:val="none" w:sz="0" w:space="0" w:color="auto"/>
        <w:right w:val="none" w:sz="0" w:space="0" w:color="auto"/>
      </w:divBdr>
      <w:divsChild>
        <w:div w:id="1683320024">
          <w:marLeft w:val="0"/>
          <w:marRight w:val="0"/>
          <w:marTop w:val="0"/>
          <w:marBottom w:val="0"/>
          <w:divBdr>
            <w:top w:val="none" w:sz="0" w:space="0" w:color="auto"/>
            <w:left w:val="none" w:sz="0" w:space="0" w:color="auto"/>
            <w:bottom w:val="none" w:sz="0" w:space="0" w:color="auto"/>
            <w:right w:val="none" w:sz="0" w:space="0" w:color="auto"/>
          </w:divBdr>
          <w:divsChild>
            <w:div w:id="160171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90084">
      <w:bodyDiv w:val="1"/>
      <w:marLeft w:val="0"/>
      <w:marRight w:val="0"/>
      <w:marTop w:val="0"/>
      <w:marBottom w:val="0"/>
      <w:divBdr>
        <w:top w:val="none" w:sz="0" w:space="0" w:color="auto"/>
        <w:left w:val="none" w:sz="0" w:space="0" w:color="auto"/>
        <w:bottom w:val="none" w:sz="0" w:space="0" w:color="auto"/>
        <w:right w:val="none" w:sz="0" w:space="0" w:color="auto"/>
      </w:divBdr>
    </w:div>
    <w:div w:id="1347171162">
      <w:bodyDiv w:val="1"/>
      <w:marLeft w:val="0"/>
      <w:marRight w:val="0"/>
      <w:marTop w:val="0"/>
      <w:marBottom w:val="0"/>
      <w:divBdr>
        <w:top w:val="none" w:sz="0" w:space="0" w:color="auto"/>
        <w:left w:val="none" w:sz="0" w:space="0" w:color="auto"/>
        <w:bottom w:val="none" w:sz="0" w:space="0" w:color="auto"/>
        <w:right w:val="none" w:sz="0" w:space="0" w:color="auto"/>
      </w:divBdr>
    </w:div>
    <w:div w:id="1398430465">
      <w:bodyDiv w:val="1"/>
      <w:marLeft w:val="0"/>
      <w:marRight w:val="0"/>
      <w:marTop w:val="0"/>
      <w:marBottom w:val="0"/>
      <w:divBdr>
        <w:top w:val="none" w:sz="0" w:space="0" w:color="auto"/>
        <w:left w:val="none" w:sz="0" w:space="0" w:color="auto"/>
        <w:bottom w:val="none" w:sz="0" w:space="0" w:color="auto"/>
        <w:right w:val="none" w:sz="0" w:space="0" w:color="auto"/>
      </w:divBdr>
      <w:divsChild>
        <w:div w:id="1801800898">
          <w:marLeft w:val="0"/>
          <w:marRight w:val="0"/>
          <w:marTop w:val="0"/>
          <w:marBottom w:val="0"/>
          <w:divBdr>
            <w:top w:val="none" w:sz="0" w:space="0" w:color="auto"/>
            <w:left w:val="none" w:sz="0" w:space="0" w:color="auto"/>
            <w:bottom w:val="none" w:sz="0" w:space="0" w:color="auto"/>
            <w:right w:val="none" w:sz="0" w:space="0" w:color="auto"/>
          </w:divBdr>
          <w:divsChild>
            <w:div w:id="1222254990">
              <w:marLeft w:val="0"/>
              <w:marRight w:val="0"/>
              <w:marTop w:val="0"/>
              <w:marBottom w:val="0"/>
              <w:divBdr>
                <w:top w:val="none" w:sz="0" w:space="0" w:color="auto"/>
                <w:left w:val="none" w:sz="0" w:space="0" w:color="auto"/>
                <w:bottom w:val="none" w:sz="0" w:space="0" w:color="auto"/>
                <w:right w:val="none" w:sz="0" w:space="0" w:color="auto"/>
              </w:divBdr>
            </w:div>
            <w:div w:id="137804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36716">
      <w:bodyDiv w:val="1"/>
      <w:marLeft w:val="0"/>
      <w:marRight w:val="0"/>
      <w:marTop w:val="0"/>
      <w:marBottom w:val="0"/>
      <w:divBdr>
        <w:top w:val="none" w:sz="0" w:space="0" w:color="auto"/>
        <w:left w:val="none" w:sz="0" w:space="0" w:color="auto"/>
        <w:bottom w:val="none" w:sz="0" w:space="0" w:color="auto"/>
        <w:right w:val="none" w:sz="0" w:space="0" w:color="auto"/>
      </w:divBdr>
    </w:div>
    <w:div w:id="1452700598">
      <w:bodyDiv w:val="1"/>
      <w:marLeft w:val="0"/>
      <w:marRight w:val="0"/>
      <w:marTop w:val="0"/>
      <w:marBottom w:val="0"/>
      <w:divBdr>
        <w:top w:val="none" w:sz="0" w:space="0" w:color="auto"/>
        <w:left w:val="none" w:sz="0" w:space="0" w:color="auto"/>
        <w:bottom w:val="none" w:sz="0" w:space="0" w:color="auto"/>
        <w:right w:val="none" w:sz="0" w:space="0" w:color="auto"/>
      </w:divBdr>
    </w:div>
    <w:div w:id="1485657426">
      <w:bodyDiv w:val="1"/>
      <w:marLeft w:val="0"/>
      <w:marRight w:val="0"/>
      <w:marTop w:val="0"/>
      <w:marBottom w:val="0"/>
      <w:divBdr>
        <w:top w:val="none" w:sz="0" w:space="0" w:color="auto"/>
        <w:left w:val="none" w:sz="0" w:space="0" w:color="auto"/>
        <w:bottom w:val="none" w:sz="0" w:space="0" w:color="auto"/>
        <w:right w:val="none" w:sz="0" w:space="0" w:color="auto"/>
      </w:divBdr>
    </w:div>
    <w:div w:id="1526215497">
      <w:bodyDiv w:val="1"/>
      <w:marLeft w:val="0"/>
      <w:marRight w:val="0"/>
      <w:marTop w:val="0"/>
      <w:marBottom w:val="0"/>
      <w:divBdr>
        <w:top w:val="none" w:sz="0" w:space="0" w:color="auto"/>
        <w:left w:val="none" w:sz="0" w:space="0" w:color="auto"/>
        <w:bottom w:val="none" w:sz="0" w:space="0" w:color="auto"/>
        <w:right w:val="none" w:sz="0" w:space="0" w:color="auto"/>
      </w:divBdr>
    </w:div>
    <w:div w:id="1538077900">
      <w:bodyDiv w:val="1"/>
      <w:marLeft w:val="0"/>
      <w:marRight w:val="0"/>
      <w:marTop w:val="0"/>
      <w:marBottom w:val="0"/>
      <w:divBdr>
        <w:top w:val="none" w:sz="0" w:space="0" w:color="auto"/>
        <w:left w:val="none" w:sz="0" w:space="0" w:color="auto"/>
        <w:bottom w:val="none" w:sz="0" w:space="0" w:color="auto"/>
        <w:right w:val="none" w:sz="0" w:space="0" w:color="auto"/>
      </w:divBdr>
    </w:div>
    <w:div w:id="1562446317">
      <w:bodyDiv w:val="1"/>
      <w:marLeft w:val="0"/>
      <w:marRight w:val="0"/>
      <w:marTop w:val="0"/>
      <w:marBottom w:val="0"/>
      <w:divBdr>
        <w:top w:val="none" w:sz="0" w:space="0" w:color="auto"/>
        <w:left w:val="none" w:sz="0" w:space="0" w:color="auto"/>
        <w:bottom w:val="none" w:sz="0" w:space="0" w:color="auto"/>
        <w:right w:val="none" w:sz="0" w:space="0" w:color="auto"/>
      </w:divBdr>
      <w:divsChild>
        <w:div w:id="684749411">
          <w:marLeft w:val="0"/>
          <w:marRight w:val="0"/>
          <w:marTop w:val="0"/>
          <w:marBottom w:val="0"/>
          <w:divBdr>
            <w:top w:val="none" w:sz="0" w:space="0" w:color="auto"/>
            <w:left w:val="none" w:sz="0" w:space="0" w:color="auto"/>
            <w:bottom w:val="none" w:sz="0" w:space="0" w:color="auto"/>
            <w:right w:val="none" w:sz="0" w:space="0" w:color="auto"/>
          </w:divBdr>
          <w:divsChild>
            <w:div w:id="576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5319">
      <w:bodyDiv w:val="1"/>
      <w:marLeft w:val="0"/>
      <w:marRight w:val="0"/>
      <w:marTop w:val="0"/>
      <w:marBottom w:val="0"/>
      <w:divBdr>
        <w:top w:val="none" w:sz="0" w:space="0" w:color="auto"/>
        <w:left w:val="none" w:sz="0" w:space="0" w:color="auto"/>
        <w:bottom w:val="none" w:sz="0" w:space="0" w:color="auto"/>
        <w:right w:val="none" w:sz="0" w:space="0" w:color="auto"/>
      </w:divBdr>
    </w:div>
    <w:div w:id="1615358014">
      <w:bodyDiv w:val="1"/>
      <w:marLeft w:val="0"/>
      <w:marRight w:val="0"/>
      <w:marTop w:val="0"/>
      <w:marBottom w:val="0"/>
      <w:divBdr>
        <w:top w:val="none" w:sz="0" w:space="0" w:color="auto"/>
        <w:left w:val="none" w:sz="0" w:space="0" w:color="auto"/>
        <w:bottom w:val="none" w:sz="0" w:space="0" w:color="auto"/>
        <w:right w:val="none" w:sz="0" w:space="0" w:color="auto"/>
      </w:divBdr>
      <w:divsChild>
        <w:div w:id="1163474483">
          <w:marLeft w:val="0"/>
          <w:marRight w:val="0"/>
          <w:marTop w:val="0"/>
          <w:marBottom w:val="0"/>
          <w:divBdr>
            <w:top w:val="none" w:sz="0" w:space="0" w:color="auto"/>
            <w:left w:val="none" w:sz="0" w:space="0" w:color="auto"/>
            <w:bottom w:val="none" w:sz="0" w:space="0" w:color="auto"/>
            <w:right w:val="none" w:sz="0" w:space="0" w:color="auto"/>
          </w:divBdr>
          <w:divsChild>
            <w:div w:id="2674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51618">
      <w:bodyDiv w:val="1"/>
      <w:marLeft w:val="0"/>
      <w:marRight w:val="0"/>
      <w:marTop w:val="0"/>
      <w:marBottom w:val="0"/>
      <w:divBdr>
        <w:top w:val="none" w:sz="0" w:space="0" w:color="auto"/>
        <w:left w:val="none" w:sz="0" w:space="0" w:color="auto"/>
        <w:bottom w:val="none" w:sz="0" w:space="0" w:color="auto"/>
        <w:right w:val="none" w:sz="0" w:space="0" w:color="auto"/>
      </w:divBdr>
    </w:div>
    <w:div w:id="1678843775">
      <w:bodyDiv w:val="1"/>
      <w:marLeft w:val="0"/>
      <w:marRight w:val="0"/>
      <w:marTop w:val="0"/>
      <w:marBottom w:val="0"/>
      <w:divBdr>
        <w:top w:val="none" w:sz="0" w:space="0" w:color="auto"/>
        <w:left w:val="none" w:sz="0" w:space="0" w:color="auto"/>
        <w:bottom w:val="none" w:sz="0" w:space="0" w:color="auto"/>
        <w:right w:val="none" w:sz="0" w:space="0" w:color="auto"/>
      </w:divBdr>
    </w:div>
    <w:div w:id="1679190806">
      <w:bodyDiv w:val="1"/>
      <w:marLeft w:val="0"/>
      <w:marRight w:val="0"/>
      <w:marTop w:val="0"/>
      <w:marBottom w:val="0"/>
      <w:divBdr>
        <w:top w:val="none" w:sz="0" w:space="0" w:color="auto"/>
        <w:left w:val="none" w:sz="0" w:space="0" w:color="auto"/>
        <w:bottom w:val="none" w:sz="0" w:space="0" w:color="auto"/>
        <w:right w:val="none" w:sz="0" w:space="0" w:color="auto"/>
      </w:divBdr>
    </w:div>
    <w:div w:id="1684555940">
      <w:bodyDiv w:val="1"/>
      <w:marLeft w:val="0"/>
      <w:marRight w:val="0"/>
      <w:marTop w:val="0"/>
      <w:marBottom w:val="0"/>
      <w:divBdr>
        <w:top w:val="none" w:sz="0" w:space="0" w:color="auto"/>
        <w:left w:val="none" w:sz="0" w:space="0" w:color="auto"/>
        <w:bottom w:val="none" w:sz="0" w:space="0" w:color="auto"/>
        <w:right w:val="none" w:sz="0" w:space="0" w:color="auto"/>
      </w:divBdr>
    </w:div>
    <w:div w:id="1711878143">
      <w:bodyDiv w:val="1"/>
      <w:marLeft w:val="0"/>
      <w:marRight w:val="0"/>
      <w:marTop w:val="0"/>
      <w:marBottom w:val="0"/>
      <w:divBdr>
        <w:top w:val="none" w:sz="0" w:space="0" w:color="auto"/>
        <w:left w:val="none" w:sz="0" w:space="0" w:color="auto"/>
        <w:bottom w:val="none" w:sz="0" w:space="0" w:color="auto"/>
        <w:right w:val="none" w:sz="0" w:space="0" w:color="auto"/>
      </w:divBdr>
      <w:divsChild>
        <w:div w:id="916088258">
          <w:marLeft w:val="0"/>
          <w:marRight w:val="0"/>
          <w:marTop w:val="0"/>
          <w:marBottom w:val="0"/>
          <w:divBdr>
            <w:top w:val="none" w:sz="0" w:space="0" w:color="auto"/>
            <w:left w:val="none" w:sz="0" w:space="0" w:color="auto"/>
            <w:bottom w:val="none" w:sz="0" w:space="0" w:color="auto"/>
            <w:right w:val="none" w:sz="0" w:space="0" w:color="auto"/>
          </w:divBdr>
          <w:divsChild>
            <w:div w:id="29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0895">
      <w:bodyDiv w:val="1"/>
      <w:marLeft w:val="0"/>
      <w:marRight w:val="0"/>
      <w:marTop w:val="0"/>
      <w:marBottom w:val="0"/>
      <w:divBdr>
        <w:top w:val="none" w:sz="0" w:space="0" w:color="auto"/>
        <w:left w:val="none" w:sz="0" w:space="0" w:color="auto"/>
        <w:bottom w:val="none" w:sz="0" w:space="0" w:color="auto"/>
        <w:right w:val="none" w:sz="0" w:space="0" w:color="auto"/>
      </w:divBdr>
    </w:div>
    <w:div w:id="1784497988">
      <w:bodyDiv w:val="1"/>
      <w:marLeft w:val="0"/>
      <w:marRight w:val="0"/>
      <w:marTop w:val="0"/>
      <w:marBottom w:val="0"/>
      <w:divBdr>
        <w:top w:val="none" w:sz="0" w:space="0" w:color="auto"/>
        <w:left w:val="none" w:sz="0" w:space="0" w:color="auto"/>
        <w:bottom w:val="none" w:sz="0" w:space="0" w:color="auto"/>
        <w:right w:val="none" w:sz="0" w:space="0" w:color="auto"/>
      </w:divBdr>
    </w:div>
    <w:div w:id="1812595533">
      <w:bodyDiv w:val="1"/>
      <w:marLeft w:val="0"/>
      <w:marRight w:val="0"/>
      <w:marTop w:val="0"/>
      <w:marBottom w:val="0"/>
      <w:divBdr>
        <w:top w:val="none" w:sz="0" w:space="0" w:color="auto"/>
        <w:left w:val="none" w:sz="0" w:space="0" w:color="auto"/>
        <w:bottom w:val="none" w:sz="0" w:space="0" w:color="auto"/>
        <w:right w:val="none" w:sz="0" w:space="0" w:color="auto"/>
      </w:divBdr>
    </w:div>
    <w:div w:id="1941639924">
      <w:bodyDiv w:val="1"/>
      <w:marLeft w:val="0"/>
      <w:marRight w:val="0"/>
      <w:marTop w:val="0"/>
      <w:marBottom w:val="0"/>
      <w:divBdr>
        <w:top w:val="none" w:sz="0" w:space="0" w:color="auto"/>
        <w:left w:val="none" w:sz="0" w:space="0" w:color="auto"/>
        <w:bottom w:val="none" w:sz="0" w:space="0" w:color="auto"/>
        <w:right w:val="none" w:sz="0" w:space="0" w:color="auto"/>
      </w:divBdr>
    </w:div>
    <w:div w:id="2120491946">
      <w:bodyDiv w:val="1"/>
      <w:marLeft w:val="0"/>
      <w:marRight w:val="0"/>
      <w:marTop w:val="0"/>
      <w:marBottom w:val="0"/>
      <w:divBdr>
        <w:top w:val="none" w:sz="0" w:space="0" w:color="auto"/>
        <w:left w:val="none" w:sz="0" w:space="0" w:color="auto"/>
        <w:bottom w:val="none" w:sz="0" w:space="0" w:color="auto"/>
        <w:right w:val="none" w:sz="0" w:space="0" w:color="auto"/>
      </w:divBdr>
      <w:divsChild>
        <w:div w:id="343678000">
          <w:marLeft w:val="0"/>
          <w:marRight w:val="0"/>
          <w:marTop w:val="0"/>
          <w:marBottom w:val="0"/>
          <w:divBdr>
            <w:top w:val="none" w:sz="0" w:space="0" w:color="auto"/>
            <w:left w:val="none" w:sz="0" w:space="0" w:color="auto"/>
            <w:bottom w:val="none" w:sz="0" w:space="0" w:color="auto"/>
            <w:right w:val="none" w:sz="0" w:space="0" w:color="auto"/>
          </w:divBdr>
          <w:divsChild>
            <w:div w:id="602880860">
              <w:marLeft w:val="0"/>
              <w:marRight w:val="0"/>
              <w:marTop w:val="0"/>
              <w:marBottom w:val="0"/>
              <w:divBdr>
                <w:top w:val="none" w:sz="0" w:space="0" w:color="auto"/>
                <w:left w:val="none" w:sz="0" w:space="0" w:color="auto"/>
                <w:bottom w:val="none" w:sz="0" w:space="0" w:color="auto"/>
                <w:right w:val="none" w:sz="0" w:space="0" w:color="auto"/>
              </w:divBdr>
            </w:div>
            <w:div w:id="14353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gov.uk/uksi/1994/2842/contents/made" TargetMode="External"/><Relationship Id="rId18" Type="http://schemas.openxmlformats.org/officeDocument/2006/relationships/hyperlink" Target="http://www.fwr.org/UPM3/" TargetMode="External"/><Relationship Id="rId26" Type="http://schemas.openxmlformats.org/officeDocument/2006/relationships/hyperlink" Target="https://www.sepa.org.uk/regulations/water/pollution-control/pollution-control-guidance/" TargetMode="External"/><Relationship Id="rId3" Type="http://schemas.openxmlformats.org/officeDocument/2006/relationships/customXml" Target="../customXml/item3.xml"/><Relationship Id="rId21" Type="http://schemas.openxmlformats.org/officeDocument/2006/relationships/hyperlink" Target="https://www.sepa.org.uk/regulations/water/pollution-control/pollution-control-guidance/"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regulations/water/guidance/" TargetMode="External"/><Relationship Id="rId25" Type="http://schemas.openxmlformats.org/officeDocument/2006/relationships/hyperlink" Target="https://www.sepa.org.uk/regulations/water/pollution-control/pollution-control-guidance/"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sepa.org.uk/regulations/authorisations-and-permits/charging-schemes/" TargetMode="External"/><Relationship Id="rId20" Type="http://schemas.openxmlformats.org/officeDocument/2006/relationships/hyperlink" Target="https://www.gov.scot/binaries/content/documents/govscot/publications/regulation-directive-order/2014/08/scotland-river-basin-district-standards-directions-2014/documents/00457867-pdf/00457867-pdf/govscot%3Adocument/00457867.pdf?forceDownload=tru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regulations/water/pollution-control/pollution-control-guidance/"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sepa.org.uk/media/150984/wat_sg_28.pdf" TargetMode="External"/><Relationship Id="rId28" Type="http://schemas.openxmlformats.org/officeDocument/2006/relationships/hyperlink" Target="mailto:equalities@sepa.org.uk"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epa.org.uk/regulations/water/pollution-control/pollution-control-guidance/"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wr.org/UPM3/" TargetMode="External"/><Relationship Id="rId22" Type="http://schemas.openxmlformats.org/officeDocument/2006/relationships/hyperlink" Target="https://www.sepa.org.uk/regulations/water/pollution-control/pollution-control-guidance/" TargetMode="External"/><Relationship Id="rId27" Type="http://schemas.openxmlformats.org/officeDocument/2006/relationships/hyperlink" Target="https://www.sepa.org.uk/regulations/water/pollution-control/pollution-control-guidance/"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6" ma:contentTypeDescription="Create a new document." ma:contentTypeScope="" ma:versionID="0ebdcf50d8fdc162a7c9e6b838749fff">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25f8caac30a641070aac660beca7a215"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EB60E-9E87-4E21-8612-30C2A1D2F723}">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3.xml><?xml version="1.0" encoding="utf-8"?>
<ds:datastoreItem xmlns:ds="http://schemas.openxmlformats.org/officeDocument/2006/customXml" ds:itemID="{55798002-35C3-43FD-8A52-EFE8DED25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3</TotalTime>
  <Pages>31</Pages>
  <Words>7682</Words>
  <Characters>43788</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51368</CharactersWithSpaces>
  <SharedDoc>false</SharedDoc>
  <HLinks>
    <vt:vector size="396" baseType="variant">
      <vt:variant>
        <vt:i4>3539032</vt:i4>
      </vt:variant>
      <vt:variant>
        <vt:i4>324</vt:i4>
      </vt:variant>
      <vt:variant>
        <vt:i4>0</vt:i4>
      </vt:variant>
      <vt:variant>
        <vt:i4>5</vt:i4>
      </vt:variant>
      <vt:variant>
        <vt:lpwstr>mailto:equalities@sepa.org.uk</vt:lpwstr>
      </vt:variant>
      <vt:variant>
        <vt:lpwstr/>
      </vt:variant>
      <vt:variant>
        <vt:i4>7602230</vt:i4>
      </vt:variant>
      <vt:variant>
        <vt:i4>321</vt:i4>
      </vt:variant>
      <vt:variant>
        <vt:i4>0</vt:i4>
      </vt:variant>
      <vt:variant>
        <vt:i4>5</vt:i4>
      </vt:variant>
      <vt:variant>
        <vt:lpwstr>https://www.sepa.org.uk/regulations/water/pollution-control/pollution-control-guidance/</vt:lpwstr>
      </vt:variant>
      <vt:variant>
        <vt:lpwstr/>
      </vt:variant>
      <vt:variant>
        <vt:i4>7602230</vt:i4>
      </vt:variant>
      <vt:variant>
        <vt:i4>318</vt:i4>
      </vt:variant>
      <vt:variant>
        <vt:i4>0</vt:i4>
      </vt:variant>
      <vt:variant>
        <vt:i4>5</vt:i4>
      </vt:variant>
      <vt:variant>
        <vt:lpwstr>https://www.sepa.org.uk/regulations/water/pollution-control/pollution-control-guidance/</vt:lpwstr>
      </vt:variant>
      <vt:variant>
        <vt:lpwstr/>
      </vt:variant>
      <vt:variant>
        <vt:i4>7602230</vt:i4>
      </vt:variant>
      <vt:variant>
        <vt:i4>315</vt:i4>
      </vt:variant>
      <vt:variant>
        <vt:i4>0</vt:i4>
      </vt:variant>
      <vt:variant>
        <vt:i4>5</vt:i4>
      </vt:variant>
      <vt:variant>
        <vt:lpwstr>https://www.sepa.org.uk/regulations/water/pollution-control/pollution-control-guidance/</vt:lpwstr>
      </vt:variant>
      <vt:variant>
        <vt:lpwstr/>
      </vt:variant>
      <vt:variant>
        <vt:i4>7602230</vt:i4>
      </vt:variant>
      <vt:variant>
        <vt:i4>312</vt:i4>
      </vt:variant>
      <vt:variant>
        <vt:i4>0</vt:i4>
      </vt:variant>
      <vt:variant>
        <vt:i4>5</vt:i4>
      </vt:variant>
      <vt:variant>
        <vt:lpwstr>https://www.sepa.org.uk/regulations/water/pollution-control/pollution-control-guidance/</vt:lpwstr>
      </vt:variant>
      <vt:variant>
        <vt:lpwstr/>
      </vt:variant>
      <vt:variant>
        <vt:i4>589883</vt:i4>
      </vt:variant>
      <vt:variant>
        <vt:i4>309</vt:i4>
      </vt:variant>
      <vt:variant>
        <vt:i4>0</vt:i4>
      </vt:variant>
      <vt:variant>
        <vt:i4>5</vt:i4>
      </vt:variant>
      <vt:variant>
        <vt:lpwstr/>
      </vt:variant>
      <vt:variant>
        <vt:lpwstr>_4.1._CSO_discharges</vt:lpwstr>
      </vt:variant>
      <vt:variant>
        <vt:i4>589883</vt:i4>
      </vt:variant>
      <vt:variant>
        <vt:i4>306</vt:i4>
      </vt:variant>
      <vt:variant>
        <vt:i4>0</vt:i4>
      </vt:variant>
      <vt:variant>
        <vt:i4>5</vt:i4>
      </vt:variant>
      <vt:variant>
        <vt:lpwstr/>
      </vt:variant>
      <vt:variant>
        <vt:lpwstr>_4.1._CSO_discharges</vt:lpwstr>
      </vt:variant>
      <vt:variant>
        <vt:i4>262149</vt:i4>
      </vt:variant>
      <vt:variant>
        <vt:i4>303</vt:i4>
      </vt:variant>
      <vt:variant>
        <vt:i4>0</vt:i4>
      </vt:variant>
      <vt:variant>
        <vt:i4>5</vt:i4>
      </vt:variant>
      <vt:variant>
        <vt:lpwstr>https://www.sepa.org.uk/media/150984/wat_sg_28.pdf</vt:lpwstr>
      </vt:variant>
      <vt:variant>
        <vt:lpwstr/>
      </vt:variant>
      <vt:variant>
        <vt:i4>7602230</vt:i4>
      </vt:variant>
      <vt:variant>
        <vt:i4>300</vt:i4>
      </vt:variant>
      <vt:variant>
        <vt:i4>0</vt:i4>
      </vt:variant>
      <vt:variant>
        <vt:i4>5</vt:i4>
      </vt:variant>
      <vt:variant>
        <vt:lpwstr>https://www.sepa.org.uk/regulations/water/pollution-control/pollution-control-guidance/</vt:lpwstr>
      </vt:variant>
      <vt:variant>
        <vt:lpwstr/>
      </vt:variant>
      <vt:variant>
        <vt:i4>7602230</vt:i4>
      </vt:variant>
      <vt:variant>
        <vt:i4>297</vt:i4>
      </vt:variant>
      <vt:variant>
        <vt:i4>0</vt:i4>
      </vt:variant>
      <vt:variant>
        <vt:i4>5</vt:i4>
      </vt:variant>
      <vt:variant>
        <vt:lpwstr>https://www.sepa.org.uk/regulations/water/pollution-control/pollution-control-guidance/</vt:lpwstr>
      </vt:variant>
      <vt:variant>
        <vt:lpwstr/>
      </vt:variant>
      <vt:variant>
        <vt:i4>7602230</vt:i4>
      </vt:variant>
      <vt:variant>
        <vt:i4>294</vt:i4>
      </vt:variant>
      <vt:variant>
        <vt:i4>0</vt:i4>
      </vt:variant>
      <vt:variant>
        <vt:i4>5</vt:i4>
      </vt:variant>
      <vt:variant>
        <vt:lpwstr>https://www.sepa.org.uk/regulations/water/pollution-control/pollution-control-guidance/</vt:lpwstr>
      </vt:variant>
      <vt:variant>
        <vt:lpwstr/>
      </vt:variant>
      <vt:variant>
        <vt:i4>7602230</vt:i4>
      </vt:variant>
      <vt:variant>
        <vt:i4>291</vt:i4>
      </vt:variant>
      <vt:variant>
        <vt:i4>0</vt:i4>
      </vt:variant>
      <vt:variant>
        <vt:i4>5</vt:i4>
      </vt:variant>
      <vt:variant>
        <vt:lpwstr>https://www.sepa.org.uk/regulations/water/pollution-control/pollution-control-guidance/</vt:lpwstr>
      </vt:variant>
      <vt:variant>
        <vt:lpwstr/>
      </vt:variant>
      <vt:variant>
        <vt:i4>7602230</vt:i4>
      </vt:variant>
      <vt:variant>
        <vt:i4>288</vt:i4>
      </vt:variant>
      <vt:variant>
        <vt:i4>0</vt:i4>
      </vt:variant>
      <vt:variant>
        <vt:i4>5</vt:i4>
      </vt:variant>
      <vt:variant>
        <vt:lpwstr>https://www.sepa.org.uk/regulations/water/pollution-control/pollution-control-guidance/</vt:lpwstr>
      </vt:variant>
      <vt:variant>
        <vt:lpwstr/>
      </vt:variant>
      <vt:variant>
        <vt:i4>7602230</vt:i4>
      </vt:variant>
      <vt:variant>
        <vt:i4>285</vt:i4>
      </vt:variant>
      <vt:variant>
        <vt:i4>0</vt:i4>
      </vt:variant>
      <vt:variant>
        <vt:i4>5</vt:i4>
      </vt:variant>
      <vt:variant>
        <vt:lpwstr>https://www.sepa.org.uk/regulations/water/pollution-control/pollution-control-guidance/</vt:lpwstr>
      </vt:variant>
      <vt:variant>
        <vt:lpwstr/>
      </vt:variant>
      <vt:variant>
        <vt:i4>3145766</vt:i4>
      </vt:variant>
      <vt:variant>
        <vt:i4>282</vt:i4>
      </vt:variant>
      <vt:variant>
        <vt:i4>0</vt:i4>
      </vt:variant>
      <vt:variant>
        <vt:i4>5</vt:i4>
      </vt:variant>
      <vt:variant>
        <vt:lpwstr>https://www.gov.scot/binaries/content/documents/govscot/publications/regulation-directive-order/2014/08/scotland-river-basin-district-standards-directions-2014/documents/00457867-pdf/00457867-pdf/govscot%3Adocument/00457867.pdf?forceDownload=true</vt:lpwstr>
      </vt:variant>
      <vt:variant>
        <vt:lpwstr/>
      </vt:variant>
      <vt:variant>
        <vt:i4>4128787</vt:i4>
      </vt:variant>
      <vt:variant>
        <vt:i4>279</vt:i4>
      </vt:variant>
      <vt:variant>
        <vt:i4>0</vt:i4>
      </vt:variant>
      <vt:variant>
        <vt:i4>5</vt:i4>
      </vt:variant>
      <vt:variant>
        <vt:lpwstr/>
      </vt:variant>
      <vt:variant>
        <vt:lpwstr>_5._Designing_Storm</vt:lpwstr>
      </vt:variant>
      <vt:variant>
        <vt:i4>7602230</vt:i4>
      </vt:variant>
      <vt:variant>
        <vt:i4>276</vt:i4>
      </vt:variant>
      <vt:variant>
        <vt:i4>0</vt:i4>
      </vt:variant>
      <vt:variant>
        <vt:i4>5</vt:i4>
      </vt:variant>
      <vt:variant>
        <vt:lpwstr>https://www.sepa.org.uk/regulations/water/pollution-control/pollution-control-guidance/</vt:lpwstr>
      </vt:variant>
      <vt:variant>
        <vt:lpwstr/>
      </vt:variant>
      <vt:variant>
        <vt:i4>23</vt:i4>
      </vt:variant>
      <vt:variant>
        <vt:i4>273</vt:i4>
      </vt:variant>
      <vt:variant>
        <vt:i4>0</vt:i4>
      </vt:variant>
      <vt:variant>
        <vt:i4>5</vt:i4>
      </vt:variant>
      <vt:variant>
        <vt:lpwstr>http://www.fwr.org/UPM3/</vt:lpwstr>
      </vt:variant>
      <vt:variant>
        <vt:lpwstr/>
      </vt:variant>
      <vt:variant>
        <vt:i4>7733302</vt:i4>
      </vt:variant>
      <vt:variant>
        <vt:i4>270</vt:i4>
      </vt:variant>
      <vt:variant>
        <vt:i4>0</vt:i4>
      </vt:variant>
      <vt:variant>
        <vt:i4>5</vt:i4>
      </vt:variant>
      <vt:variant>
        <vt:lpwstr>https://www.sepa.org.uk/regulations/water/guidance/</vt:lpwstr>
      </vt:variant>
      <vt:variant>
        <vt:lpwstr/>
      </vt:variant>
      <vt:variant>
        <vt:i4>3276825</vt:i4>
      </vt:variant>
      <vt:variant>
        <vt:i4>267</vt:i4>
      </vt:variant>
      <vt:variant>
        <vt:i4>0</vt:i4>
      </vt:variant>
      <vt:variant>
        <vt:i4>5</vt:i4>
      </vt:variant>
      <vt:variant>
        <vt:lpwstr/>
      </vt:variant>
      <vt:variant>
        <vt:lpwstr>_6._Pumping_station</vt:lpwstr>
      </vt:variant>
      <vt:variant>
        <vt:i4>786445</vt:i4>
      </vt:variant>
      <vt:variant>
        <vt:i4>264</vt:i4>
      </vt:variant>
      <vt:variant>
        <vt:i4>0</vt:i4>
      </vt:variant>
      <vt:variant>
        <vt:i4>5</vt:i4>
      </vt:variant>
      <vt:variant>
        <vt:lpwstr>https://www.sepa.org.uk/media/152983/wat_sg_87.pdf</vt:lpwstr>
      </vt:variant>
      <vt:variant>
        <vt:lpwstr/>
      </vt:variant>
      <vt:variant>
        <vt:i4>4456466</vt:i4>
      </vt:variant>
      <vt:variant>
        <vt:i4>261</vt:i4>
      </vt:variant>
      <vt:variant>
        <vt:i4>0</vt:i4>
      </vt:variant>
      <vt:variant>
        <vt:i4>5</vt:i4>
      </vt:variant>
      <vt:variant>
        <vt:lpwstr>https://www.sepa.org.uk/regulations/authorisations-and-permits/charging-schemes/</vt:lpwstr>
      </vt:variant>
      <vt:variant>
        <vt:lpwstr/>
      </vt:variant>
      <vt:variant>
        <vt:i4>23</vt:i4>
      </vt:variant>
      <vt:variant>
        <vt:i4>258</vt:i4>
      </vt:variant>
      <vt:variant>
        <vt:i4>0</vt:i4>
      </vt:variant>
      <vt:variant>
        <vt:i4>5</vt:i4>
      </vt:variant>
      <vt:variant>
        <vt:lpwstr>http://www.fwr.org/UPM3/</vt:lpwstr>
      </vt:variant>
      <vt:variant>
        <vt:lpwstr/>
      </vt:variant>
      <vt:variant>
        <vt:i4>6684717</vt:i4>
      </vt:variant>
      <vt:variant>
        <vt:i4>255</vt:i4>
      </vt:variant>
      <vt:variant>
        <vt:i4>0</vt:i4>
      </vt:variant>
      <vt:variant>
        <vt:i4>5</vt:i4>
      </vt:variant>
      <vt:variant>
        <vt:lpwstr>http://www.legislation.gov.uk/uksi/1994/2842/contents/made</vt:lpwstr>
      </vt:variant>
      <vt:variant>
        <vt:lpwstr/>
      </vt:variant>
      <vt:variant>
        <vt:i4>2031677</vt:i4>
      </vt:variant>
      <vt:variant>
        <vt:i4>248</vt:i4>
      </vt:variant>
      <vt:variant>
        <vt:i4>0</vt:i4>
      </vt:variant>
      <vt:variant>
        <vt:i4>5</vt:i4>
      </vt:variant>
      <vt:variant>
        <vt:lpwstr/>
      </vt:variant>
      <vt:variant>
        <vt:lpwstr>_Toc177038872</vt:lpwstr>
      </vt:variant>
      <vt:variant>
        <vt:i4>2031677</vt:i4>
      </vt:variant>
      <vt:variant>
        <vt:i4>242</vt:i4>
      </vt:variant>
      <vt:variant>
        <vt:i4>0</vt:i4>
      </vt:variant>
      <vt:variant>
        <vt:i4>5</vt:i4>
      </vt:variant>
      <vt:variant>
        <vt:lpwstr/>
      </vt:variant>
      <vt:variant>
        <vt:lpwstr>_Toc177038871</vt:lpwstr>
      </vt:variant>
      <vt:variant>
        <vt:i4>2031677</vt:i4>
      </vt:variant>
      <vt:variant>
        <vt:i4>236</vt:i4>
      </vt:variant>
      <vt:variant>
        <vt:i4>0</vt:i4>
      </vt:variant>
      <vt:variant>
        <vt:i4>5</vt:i4>
      </vt:variant>
      <vt:variant>
        <vt:lpwstr/>
      </vt:variant>
      <vt:variant>
        <vt:lpwstr>_Toc177038870</vt:lpwstr>
      </vt:variant>
      <vt:variant>
        <vt:i4>1966141</vt:i4>
      </vt:variant>
      <vt:variant>
        <vt:i4>230</vt:i4>
      </vt:variant>
      <vt:variant>
        <vt:i4>0</vt:i4>
      </vt:variant>
      <vt:variant>
        <vt:i4>5</vt:i4>
      </vt:variant>
      <vt:variant>
        <vt:lpwstr/>
      </vt:variant>
      <vt:variant>
        <vt:lpwstr>_Toc177038869</vt:lpwstr>
      </vt:variant>
      <vt:variant>
        <vt:i4>1966141</vt:i4>
      </vt:variant>
      <vt:variant>
        <vt:i4>224</vt:i4>
      </vt:variant>
      <vt:variant>
        <vt:i4>0</vt:i4>
      </vt:variant>
      <vt:variant>
        <vt:i4>5</vt:i4>
      </vt:variant>
      <vt:variant>
        <vt:lpwstr/>
      </vt:variant>
      <vt:variant>
        <vt:lpwstr>_Toc177038868</vt:lpwstr>
      </vt:variant>
      <vt:variant>
        <vt:i4>1966141</vt:i4>
      </vt:variant>
      <vt:variant>
        <vt:i4>218</vt:i4>
      </vt:variant>
      <vt:variant>
        <vt:i4>0</vt:i4>
      </vt:variant>
      <vt:variant>
        <vt:i4>5</vt:i4>
      </vt:variant>
      <vt:variant>
        <vt:lpwstr/>
      </vt:variant>
      <vt:variant>
        <vt:lpwstr>_Toc177038867</vt:lpwstr>
      </vt:variant>
      <vt:variant>
        <vt:i4>1966141</vt:i4>
      </vt:variant>
      <vt:variant>
        <vt:i4>212</vt:i4>
      </vt:variant>
      <vt:variant>
        <vt:i4>0</vt:i4>
      </vt:variant>
      <vt:variant>
        <vt:i4>5</vt:i4>
      </vt:variant>
      <vt:variant>
        <vt:lpwstr/>
      </vt:variant>
      <vt:variant>
        <vt:lpwstr>_Toc177038866</vt:lpwstr>
      </vt:variant>
      <vt:variant>
        <vt:i4>1966141</vt:i4>
      </vt:variant>
      <vt:variant>
        <vt:i4>206</vt:i4>
      </vt:variant>
      <vt:variant>
        <vt:i4>0</vt:i4>
      </vt:variant>
      <vt:variant>
        <vt:i4>5</vt:i4>
      </vt:variant>
      <vt:variant>
        <vt:lpwstr/>
      </vt:variant>
      <vt:variant>
        <vt:lpwstr>_Toc177038865</vt:lpwstr>
      </vt:variant>
      <vt:variant>
        <vt:i4>1966141</vt:i4>
      </vt:variant>
      <vt:variant>
        <vt:i4>200</vt:i4>
      </vt:variant>
      <vt:variant>
        <vt:i4>0</vt:i4>
      </vt:variant>
      <vt:variant>
        <vt:i4>5</vt:i4>
      </vt:variant>
      <vt:variant>
        <vt:lpwstr/>
      </vt:variant>
      <vt:variant>
        <vt:lpwstr>_Toc177038864</vt:lpwstr>
      </vt:variant>
      <vt:variant>
        <vt:i4>1966141</vt:i4>
      </vt:variant>
      <vt:variant>
        <vt:i4>194</vt:i4>
      </vt:variant>
      <vt:variant>
        <vt:i4>0</vt:i4>
      </vt:variant>
      <vt:variant>
        <vt:i4>5</vt:i4>
      </vt:variant>
      <vt:variant>
        <vt:lpwstr/>
      </vt:variant>
      <vt:variant>
        <vt:lpwstr>_Toc177038863</vt:lpwstr>
      </vt:variant>
      <vt:variant>
        <vt:i4>1966141</vt:i4>
      </vt:variant>
      <vt:variant>
        <vt:i4>188</vt:i4>
      </vt:variant>
      <vt:variant>
        <vt:i4>0</vt:i4>
      </vt:variant>
      <vt:variant>
        <vt:i4>5</vt:i4>
      </vt:variant>
      <vt:variant>
        <vt:lpwstr/>
      </vt:variant>
      <vt:variant>
        <vt:lpwstr>_Toc177038862</vt:lpwstr>
      </vt:variant>
      <vt:variant>
        <vt:i4>1966141</vt:i4>
      </vt:variant>
      <vt:variant>
        <vt:i4>182</vt:i4>
      </vt:variant>
      <vt:variant>
        <vt:i4>0</vt:i4>
      </vt:variant>
      <vt:variant>
        <vt:i4>5</vt:i4>
      </vt:variant>
      <vt:variant>
        <vt:lpwstr/>
      </vt:variant>
      <vt:variant>
        <vt:lpwstr>_Toc177038861</vt:lpwstr>
      </vt:variant>
      <vt:variant>
        <vt:i4>1966141</vt:i4>
      </vt:variant>
      <vt:variant>
        <vt:i4>176</vt:i4>
      </vt:variant>
      <vt:variant>
        <vt:i4>0</vt:i4>
      </vt:variant>
      <vt:variant>
        <vt:i4>5</vt:i4>
      </vt:variant>
      <vt:variant>
        <vt:lpwstr/>
      </vt:variant>
      <vt:variant>
        <vt:lpwstr>_Toc177038860</vt:lpwstr>
      </vt:variant>
      <vt:variant>
        <vt:i4>1900605</vt:i4>
      </vt:variant>
      <vt:variant>
        <vt:i4>170</vt:i4>
      </vt:variant>
      <vt:variant>
        <vt:i4>0</vt:i4>
      </vt:variant>
      <vt:variant>
        <vt:i4>5</vt:i4>
      </vt:variant>
      <vt:variant>
        <vt:lpwstr/>
      </vt:variant>
      <vt:variant>
        <vt:lpwstr>_Toc177038859</vt:lpwstr>
      </vt:variant>
      <vt:variant>
        <vt:i4>1900605</vt:i4>
      </vt:variant>
      <vt:variant>
        <vt:i4>164</vt:i4>
      </vt:variant>
      <vt:variant>
        <vt:i4>0</vt:i4>
      </vt:variant>
      <vt:variant>
        <vt:i4>5</vt:i4>
      </vt:variant>
      <vt:variant>
        <vt:lpwstr/>
      </vt:variant>
      <vt:variant>
        <vt:lpwstr>_Toc177038858</vt:lpwstr>
      </vt:variant>
      <vt:variant>
        <vt:i4>1900605</vt:i4>
      </vt:variant>
      <vt:variant>
        <vt:i4>158</vt:i4>
      </vt:variant>
      <vt:variant>
        <vt:i4>0</vt:i4>
      </vt:variant>
      <vt:variant>
        <vt:i4>5</vt:i4>
      </vt:variant>
      <vt:variant>
        <vt:lpwstr/>
      </vt:variant>
      <vt:variant>
        <vt:lpwstr>_Toc177038857</vt:lpwstr>
      </vt:variant>
      <vt:variant>
        <vt:i4>1900605</vt:i4>
      </vt:variant>
      <vt:variant>
        <vt:i4>152</vt:i4>
      </vt:variant>
      <vt:variant>
        <vt:i4>0</vt:i4>
      </vt:variant>
      <vt:variant>
        <vt:i4>5</vt:i4>
      </vt:variant>
      <vt:variant>
        <vt:lpwstr/>
      </vt:variant>
      <vt:variant>
        <vt:lpwstr>_Toc177038856</vt:lpwstr>
      </vt:variant>
      <vt:variant>
        <vt:i4>1900605</vt:i4>
      </vt:variant>
      <vt:variant>
        <vt:i4>146</vt:i4>
      </vt:variant>
      <vt:variant>
        <vt:i4>0</vt:i4>
      </vt:variant>
      <vt:variant>
        <vt:i4>5</vt:i4>
      </vt:variant>
      <vt:variant>
        <vt:lpwstr/>
      </vt:variant>
      <vt:variant>
        <vt:lpwstr>_Toc177038855</vt:lpwstr>
      </vt:variant>
      <vt:variant>
        <vt:i4>1900605</vt:i4>
      </vt:variant>
      <vt:variant>
        <vt:i4>140</vt:i4>
      </vt:variant>
      <vt:variant>
        <vt:i4>0</vt:i4>
      </vt:variant>
      <vt:variant>
        <vt:i4>5</vt:i4>
      </vt:variant>
      <vt:variant>
        <vt:lpwstr/>
      </vt:variant>
      <vt:variant>
        <vt:lpwstr>_Toc177038854</vt:lpwstr>
      </vt:variant>
      <vt:variant>
        <vt:i4>1900605</vt:i4>
      </vt:variant>
      <vt:variant>
        <vt:i4>134</vt:i4>
      </vt:variant>
      <vt:variant>
        <vt:i4>0</vt:i4>
      </vt:variant>
      <vt:variant>
        <vt:i4>5</vt:i4>
      </vt:variant>
      <vt:variant>
        <vt:lpwstr/>
      </vt:variant>
      <vt:variant>
        <vt:lpwstr>_Toc177038853</vt:lpwstr>
      </vt:variant>
      <vt:variant>
        <vt:i4>1900605</vt:i4>
      </vt:variant>
      <vt:variant>
        <vt:i4>128</vt:i4>
      </vt:variant>
      <vt:variant>
        <vt:i4>0</vt:i4>
      </vt:variant>
      <vt:variant>
        <vt:i4>5</vt:i4>
      </vt:variant>
      <vt:variant>
        <vt:lpwstr/>
      </vt:variant>
      <vt:variant>
        <vt:lpwstr>_Toc177038852</vt:lpwstr>
      </vt:variant>
      <vt:variant>
        <vt:i4>1900605</vt:i4>
      </vt:variant>
      <vt:variant>
        <vt:i4>122</vt:i4>
      </vt:variant>
      <vt:variant>
        <vt:i4>0</vt:i4>
      </vt:variant>
      <vt:variant>
        <vt:i4>5</vt:i4>
      </vt:variant>
      <vt:variant>
        <vt:lpwstr/>
      </vt:variant>
      <vt:variant>
        <vt:lpwstr>_Toc177038851</vt:lpwstr>
      </vt:variant>
      <vt:variant>
        <vt:i4>1900605</vt:i4>
      </vt:variant>
      <vt:variant>
        <vt:i4>116</vt:i4>
      </vt:variant>
      <vt:variant>
        <vt:i4>0</vt:i4>
      </vt:variant>
      <vt:variant>
        <vt:i4>5</vt:i4>
      </vt:variant>
      <vt:variant>
        <vt:lpwstr/>
      </vt:variant>
      <vt:variant>
        <vt:lpwstr>_Toc177038850</vt:lpwstr>
      </vt:variant>
      <vt:variant>
        <vt:i4>1835069</vt:i4>
      </vt:variant>
      <vt:variant>
        <vt:i4>110</vt:i4>
      </vt:variant>
      <vt:variant>
        <vt:i4>0</vt:i4>
      </vt:variant>
      <vt:variant>
        <vt:i4>5</vt:i4>
      </vt:variant>
      <vt:variant>
        <vt:lpwstr/>
      </vt:variant>
      <vt:variant>
        <vt:lpwstr>_Toc177038849</vt:lpwstr>
      </vt:variant>
      <vt:variant>
        <vt:i4>1835069</vt:i4>
      </vt:variant>
      <vt:variant>
        <vt:i4>104</vt:i4>
      </vt:variant>
      <vt:variant>
        <vt:i4>0</vt:i4>
      </vt:variant>
      <vt:variant>
        <vt:i4>5</vt:i4>
      </vt:variant>
      <vt:variant>
        <vt:lpwstr/>
      </vt:variant>
      <vt:variant>
        <vt:lpwstr>_Toc177038848</vt:lpwstr>
      </vt:variant>
      <vt:variant>
        <vt:i4>1835069</vt:i4>
      </vt:variant>
      <vt:variant>
        <vt:i4>98</vt:i4>
      </vt:variant>
      <vt:variant>
        <vt:i4>0</vt:i4>
      </vt:variant>
      <vt:variant>
        <vt:i4>5</vt:i4>
      </vt:variant>
      <vt:variant>
        <vt:lpwstr/>
      </vt:variant>
      <vt:variant>
        <vt:lpwstr>_Toc177038847</vt:lpwstr>
      </vt:variant>
      <vt:variant>
        <vt:i4>1835069</vt:i4>
      </vt:variant>
      <vt:variant>
        <vt:i4>92</vt:i4>
      </vt:variant>
      <vt:variant>
        <vt:i4>0</vt:i4>
      </vt:variant>
      <vt:variant>
        <vt:i4>5</vt:i4>
      </vt:variant>
      <vt:variant>
        <vt:lpwstr/>
      </vt:variant>
      <vt:variant>
        <vt:lpwstr>_Toc177038846</vt:lpwstr>
      </vt:variant>
      <vt:variant>
        <vt:i4>1835069</vt:i4>
      </vt:variant>
      <vt:variant>
        <vt:i4>86</vt:i4>
      </vt:variant>
      <vt:variant>
        <vt:i4>0</vt:i4>
      </vt:variant>
      <vt:variant>
        <vt:i4>5</vt:i4>
      </vt:variant>
      <vt:variant>
        <vt:lpwstr/>
      </vt:variant>
      <vt:variant>
        <vt:lpwstr>_Toc177038845</vt:lpwstr>
      </vt:variant>
      <vt:variant>
        <vt:i4>1835069</vt:i4>
      </vt:variant>
      <vt:variant>
        <vt:i4>80</vt:i4>
      </vt:variant>
      <vt:variant>
        <vt:i4>0</vt:i4>
      </vt:variant>
      <vt:variant>
        <vt:i4>5</vt:i4>
      </vt:variant>
      <vt:variant>
        <vt:lpwstr/>
      </vt:variant>
      <vt:variant>
        <vt:lpwstr>_Toc177038844</vt:lpwstr>
      </vt:variant>
      <vt:variant>
        <vt:i4>1835069</vt:i4>
      </vt:variant>
      <vt:variant>
        <vt:i4>74</vt:i4>
      </vt:variant>
      <vt:variant>
        <vt:i4>0</vt:i4>
      </vt:variant>
      <vt:variant>
        <vt:i4>5</vt:i4>
      </vt:variant>
      <vt:variant>
        <vt:lpwstr/>
      </vt:variant>
      <vt:variant>
        <vt:lpwstr>_Toc177038843</vt:lpwstr>
      </vt:variant>
      <vt:variant>
        <vt:i4>1835069</vt:i4>
      </vt:variant>
      <vt:variant>
        <vt:i4>68</vt:i4>
      </vt:variant>
      <vt:variant>
        <vt:i4>0</vt:i4>
      </vt:variant>
      <vt:variant>
        <vt:i4>5</vt:i4>
      </vt:variant>
      <vt:variant>
        <vt:lpwstr/>
      </vt:variant>
      <vt:variant>
        <vt:lpwstr>_Toc177038842</vt:lpwstr>
      </vt:variant>
      <vt:variant>
        <vt:i4>1835069</vt:i4>
      </vt:variant>
      <vt:variant>
        <vt:i4>62</vt:i4>
      </vt:variant>
      <vt:variant>
        <vt:i4>0</vt:i4>
      </vt:variant>
      <vt:variant>
        <vt:i4>5</vt:i4>
      </vt:variant>
      <vt:variant>
        <vt:lpwstr/>
      </vt:variant>
      <vt:variant>
        <vt:lpwstr>_Toc177038841</vt:lpwstr>
      </vt:variant>
      <vt:variant>
        <vt:i4>1835069</vt:i4>
      </vt:variant>
      <vt:variant>
        <vt:i4>56</vt:i4>
      </vt:variant>
      <vt:variant>
        <vt:i4>0</vt:i4>
      </vt:variant>
      <vt:variant>
        <vt:i4>5</vt:i4>
      </vt:variant>
      <vt:variant>
        <vt:lpwstr/>
      </vt:variant>
      <vt:variant>
        <vt:lpwstr>_Toc177038840</vt:lpwstr>
      </vt:variant>
      <vt:variant>
        <vt:i4>1769533</vt:i4>
      </vt:variant>
      <vt:variant>
        <vt:i4>50</vt:i4>
      </vt:variant>
      <vt:variant>
        <vt:i4>0</vt:i4>
      </vt:variant>
      <vt:variant>
        <vt:i4>5</vt:i4>
      </vt:variant>
      <vt:variant>
        <vt:lpwstr/>
      </vt:variant>
      <vt:variant>
        <vt:lpwstr>_Toc177038839</vt:lpwstr>
      </vt:variant>
      <vt:variant>
        <vt:i4>1769533</vt:i4>
      </vt:variant>
      <vt:variant>
        <vt:i4>44</vt:i4>
      </vt:variant>
      <vt:variant>
        <vt:i4>0</vt:i4>
      </vt:variant>
      <vt:variant>
        <vt:i4>5</vt:i4>
      </vt:variant>
      <vt:variant>
        <vt:lpwstr/>
      </vt:variant>
      <vt:variant>
        <vt:lpwstr>_Toc177038838</vt:lpwstr>
      </vt:variant>
      <vt:variant>
        <vt:i4>1769533</vt:i4>
      </vt:variant>
      <vt:variant>
        <vt:i4>38</vt:i4>
      </vt:variant>
      <vt:variant>
        <vt:i4>0</vt:i4>
      </vt:variant>
      <vt:variant>
        <vt:i4>5</vt:i4>
      </vt:variant>
      <vt:variant>
        <vt:lpwstr/>
      </vt:variant>
      <vt:variant>
        <vt:lpwstr>_Toc177038837</vt:lpwstr>
      </vt:variant>
      <vt:variant>
        <vt:i4>1769533</vt:i4>
      </vt:variant>
      <vt:variant>
        <vt:i4>32</vt:i4>
      </vt:variant>
      <vt:variant>
        <vt:i4>0</vt:i4>
      </vt:variant>
      <vt:variant>
        <vt:i4>5</vt:i4>
      </vt:variant>
      <vt:variant>
        <vt:lpwstr/>
      </vt:variant>
      <vt:variant>
        <vt:lpwstr>_Toc177038836</vt:lpwstr>
      </vt:variant>
      <vt:variant>
        <vt:i4>1769533</vt:i4>
      </vt:variant>
      <vt:variant>
        <vt:i4>26</vt:i4>
      </vt:variant>
      <vt:variant>
        <vt:i4>0</vt:i4>
      </vt:variant>
      <vt:variant>
        <vt:i4>5</vt:i4>
      </vt:variant>
      <vt:variant>
        <vt:lpwstr/>
      </vt:variant>
      <vt:variant>
        <vt:lpwstr>_Toc177038835</vt:lpwstr>
      </vt:variant>
      <vt:variant>
        <vt:i4>1769533</vt:i4>
      </vt:variant>
      <vt:variant>
        <vt:i4>20</vt:i4>
      </vt:variant>
      <vt:variant>
        <vt:i4>0</vt:i4>
      </vt:variant>
      <vt:variant>
        <vt:i4>5</vt:i4>
      </vt:variant>
      <vt:variant>
        <vt:lpwstr/>
      </vt:variant>
      <vt:variant>
        <vt:lpwstr>_Toc177038834</vt:lpwstr>
      </vt:variant>
      <vt:variant>
        <vt:i4>1769533</vt:i4>
      </vt:variant>
      <vt:variant>
        <vt:i4>14</vt:i4>
      </vt:variant>
      <vt:variant>
        <vt:i4>0</vt:i4>
      </vt:variant>
      <vt:variant>
        <vt:i4>5</vt:i4>
      </vt:variant>
      <vt:variant>
        <vt:lpwstr/>
      </vt:variant>
      <vt:variant>
        <vt:lpwstr>_Toc177038833</vt:lpwstr>
      </vt:variant>
      <vt:variant>
        <vt:i4>1769533</vt:i4>
      </vt:variant>
      <vt:variant>
        <vt:i4>8</vt:i4>
      </vt:variant>
      <vt:variant>
        <vt:i4>0</vt:i4>
      </vt:variant>
      <vt:variant>
        <vt:i4>5</vt:i4>
      </vt:variant>
      <vt:variant>
        <vt:lpwstr/>
      </vt:variant>
      <vt:variant>
        <vt:lpwstr>_Toc177038832</vt:lpwstr>
      </vt:variant>
      <vt:variant>
        <vt:i4>1769533</vt:i4>
      </vt:variant>
      <vt:variant>
        <vt:i4>2</vt:i4>
      </vt:variant>
      <vt:variant>
        <vt:i4>0</vt:i4>
      </vt:variant>
      <vt:variant>
        <vt:i4>5</vt:i4>
      </vt:variant>
      <vt:variant>
        <vt:lpwstr/>
      </vt:variant>
      <vt:variant>
        <vt:lpwstr>_Toc177038831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Water and Land Manager</dc:creator>
  <cp:keywords/>
  <dc:description/>
  <cp:lastModifiedBy>Wallace, Fionna</cp:lastModifiedBy>
  <cp:revision>2</cp:revision>
  <cp:lastPrinted>2023-03-23T21:44:00Z</cp:lastPrinted>
  <dcterms:created xsi:type="dcterms:W3CDTF">2024-12-11T13:50:00Z</dcterms:created>
  <dcterms:modified xsi:type="dcterms:W3CDTF">2024-12-11T13:50:00Z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